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AF9E3">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sz w:val="32"/>
          <w:szCs w:val="32"/>
        </w:rPr>
      </w:pPr>
      <w:r>
        <w:rPr>
          <w:rFonts w:hint="eastAsia"/>
          <w:sz w:val="32"/>
          <w:szCs w:val="32"/>
        </w:rPr>
        <w:t>一、采购需求</w:t>
      </w:r>
    </w:p>
    <w:p w14:paraId="51E9B24B">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宋体" w:hAnsi="宋体" w:cs="宋体"/>
          <w:sz w:val="28"/>
          <w:szCs w:val="28"/>
        </w:rPr>
      </w:pPr>
      <w:r>
        <w:rPr>
          <w:rFonts w:hint="eastAsia" w:ascii="宋体" w:hAnsi="宋体" w:cs="宋体"/>
          <w:sz w:val="28"/>
          <w:szCs w:val="28"/>
        </w:rPr>
        <w:t>1、本次采购教材思想政治、语文、历史三科，必须使用国家统编教材,其他教材须在国务院教育行政部门发布的国家规划教材目录中选用，均为出版社公开出版发行的正版教材；中标人接到教材订单后10个日历日内免运费送达我校指定地点。</w:t>
      </w:r>
    </w:p>
    <w:p w14:paraId="03436D93">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宋体" w:hAnsi="宋体" w:cs="宋体"/>
          <w:sz w:val="28"/>
          <w:szCs w:val="28"/>
        </w:rPr>
      </w:pPr>
      <w:r>
        <w:rPr>
          <w:rFonts w:hint="eastAsia" w:ascii="宋体" w:hAnsi="宋体" w:cs="宋体"/>
          <w:sz w:val="28"/>
          <w:szCs w:val="28"/>
        </w:rPr>
        <w:t>2、中标人根据学校提供的书目组织书源，供书率达到100%、版本准确率100%。</w:t>
      </w:r>
    </w:p>
    <w:p w14:paraId="04E879A5">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宋体" w:hAnsi="宋体" w:cs="宋体"/>
          <w:sz w:val="28"/>
          <w:szCs w:val="28"/>
        </w:rPr>
      </w:pPr>
      <w:r>
        <w:rPr>
          <w:rFonts w:hint="eastAsia" w:ascii="宋体" w:hAnsi="宋体" w:cs="宋体"/>
          <w:sz w:val="28"/>
          <w:szCs w:val="28"/>
        </w:rPr>
        <w:t>3、中标人必须安排专人负责此次教材的采购供应工作，并及时解决订购过程中学校所遇到的相关问题。</w:t>
      </w:r>
    </w:p>
    <w:p w14:paraId="4CE79C97">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宋体" w:hAnsi="宋体" w:cs="宋体"/>
          <w:sz w:val="28"/>
          <w:szCs w:val="28"/>
        </w:rPr>
      </w:pPr>
      <w:r>
        <w:rPr>
          <w:rFonts w:hint="eastAsia" w:ascii="宋体" w:hAnsi="宋体" w:cs="宋体"/>
          <w:sz w:val="28"/>
          <w:szCs w:val="28"/>
        </w:rPr>
        <w:t>4、中标人接到学校订单（纸质或电子版订单）后发现教材缺货、改版本、需加印或不能正常出版等问题，须在3个日历日内将相应信息反馈到学校，以便学校及时对所订教材进行调整。</w:t>
      </w:r>
    </w:p>
    <w:p w14:paraId="1CFCC077">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宋体" w:hAnsi="宋体" w:cs="宋体"/>
          <w:sz w:val="28"/>
          <w:szCs w:val="28"/>
        </w:rPr>
      </w:pPr>
      <w:r>
        <w:rPr>
          <w:rFonts w:hint="eastAsia" w:ascii="宋体" w:hAnsi="宋体" w:cs="宋体"/>
          <w:sz w:val="28"/>
          <w:szCs w:val="28"/>
        </w:rPr>
        <w:t>5、教材要按教师用书和学生用书分类配送、清单分列、票据分开。</w:t>
      </w:r>
    </w:p>
    <w:p w14:paraId="5228AB4B">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宋体" w:hAnsi="宋体" w:cs="宋体"/>
          <w:sz w:val="28"/>
          <w:szCs w:val="28"/>
        </w:rPr>
      </w:pPr>
      <w:r>
        <w:rPr>
          <w:rFonts w:hint="eastAsia" w:ascii="宋体" w:hAnsi="宋体" w:cs="宋体"/>
          <w:sz w:val="28"/>
          <w:szCs w:val="28"/>
        </w:rPr>
        <w:t>6、教材配送按学校要求，按时、按质、按量、按打包要求免费运送到指定地点，并分类摆放整齐。</w:t>
      </w:r>
    </w:p>
    <w:p w14:paraId="71F1C455">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宋体" w:hAnsi="宋体" w:cs="宋体"/>
          <w:sz w:val="28"/>
          <w:szCs w:val="28"/>
        </w:rPr>
      </w:pPr>
      <w:r>
        <w:rPr>
          <w:rFonts w:hint="eastAsia" w:ascii="宋体" w:hAnsi="宋体" w:cs="宋体"/>
          <w:sz w:val="28"/>
          <w:szCs w:val="28"/>
        </w:rPr>
        <w:t>7、中标人应无条件接受学校提供的增补教材或教材变更订单，并在10个日历日内送达指定地点。追补或变更教材的折扣率与中标折扣率一致。</w:t>
      </w:r>
    </w:p>
    <w:p w14:paraId="07CD0043">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宋体" w:hAnsi="宋体" w:cs="宋体"/>
          <w:sz w:val="28"/>
          <w:szCs w:val="28"/>
        </w:rPr>
      </w:pPr>
      <w:r>
        <w:rPr>
          <w:rFonts w:hint="eastAsia" w:ascii="宋体" w:hAnsi="宋体" w:cs="宋体"/>
          <w:sz w:val="28"/>
          <w:szCs w:val="28"/>
        </w:rPr>
        <w:t>8、中标人必须严格执行国家对出版发行物的有关法律规定。所提供的教材必须是合格的教材，教材在使用中发现有缺页、倒页、字迹不清、破损等情况将视为不合格教材，中标人将无条件包退换。教材出现盗版侵权等现象，学校将没收所有盗版教材，由此涉及到的法律及其它责任由中标人承担。中标人必需提供所供教材无盗版、无缺页、无污损、无倒装的书面承诺。</w:t>
      </w:r>
    </w:p>
    <w:p w14:paraId="7EB1BA06">
      <w:pPr>
        <w:keepNext w:val="0"/>
        <w:keepLines w:val="0"/>
        <w:pageBreakBefore w:val="0"/>
        <w:tabs>
          <w:tab w:val="left" w:pos="1425"/>
        </w:tabs>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9、当季教材款项结算前，对因各种原因造成的教材剩余积压，应无条件提供上门退书服务，由此产生的费用由中标人承担。</w:t>
      </w:r>
    </w:p>
    <w:p w14:paraId="3EA5E920">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3F813820">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74FF153D">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17263C37">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73DB6DC8">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0E1C624A">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28CA3FC1">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3F4D27C1">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0E4F1173">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40229F14">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16298496">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1628AAB4">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13D1E360">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4A37FE65">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1A4B2D4F">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1D3C64F8">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2B0DD588">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4B80F0BC">
      <w:pPr>
        <w:pStyle w:val="2"/>
        <w:keepNext w:val="0"/>
        <w:keepLines w:val="0"/>
        <w:pageBreakBefore w:val="0"/>
        <w:kinsoku/>
        <w:wordWrap/>
        <w:overflowPunct/>
        <w:topLinePunct w:val="0"/>
        <w:autoSpaceDE/>
        <w:autoSpaceDN/>
        <w:bidi w:val="0"/>
        <w:adjustRightInd/>
        <w:snapToGrid/>
        <w:spacing w:beforeAutospacing="0" w:after="0" w:afterAutospacing="0" w:line="560" w:lineRule="exact"/>
        <w:textAlignment w:val="auto"/>
        <w:rPr>
          <w:rFonts w:hint="eastAsia" w:ascii="宋体" w:hAnsi="宋体" w:cs="宋体"/>
          <w:sz w:val="28"/>
          <w:szCs w:val="28"/>
        </w:rPr>
      </w:pPr>
    </w:p>
    <w:p w14:paraId="4B298776">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宋体" w:hAnsi="宋体"/>
          <w:b/>
          <w:sz w:val="32"/>
          <w:szCs w:val="32"/>
        </w:rPr>
      </w:pPr>
      <w:r>
        <w:rPr>
          <w:rFonts w:hint="eastAsia" w:ascii="宋体" w:hAnsi="宋体"/>
          <w:b/>
          <w:sz w:val="32"/>
          <w:szCs w:val="32"/>
        </w:rPr>
        <w:t>二、评审方法和标准</w:t>
      </w:r>
    </w:p>
    <w:p w14:paraId="66AECC44">
      <w:pPr>
        <w:keepNext w:val="0"/>
        <w:keepLines w:val="0"/>
        <w:pageBreakBefore w:val="0"/>
        <w:kinsoku/>
        <w:wordWrap/>
        <w:overflowPunct/>
        <w:topLinePunct w:val="0"/>
        <w:autoSpaceDE/>
        <w:autoSpaceDN/>
        <w:bidi w:val="0"/>
        <w:adjustRightInd/>
        <w:snapToGrid/>
        <w:spacing w:beforeAutospacing="0" w:afterAutospacing="0" w:line="560" w:lineRule="exact"/>
        <w:ind w:firstLine="435"/>
        <w:textAlignment w:val="auto"/>
        <w:rPr>
          <w:rFonts w:ascii="宋体" w:hAnsi="宋体"/>
          <w:b/>
          <w:sz w:val="28"/>
          <w:szCs w:val="21"/>
        </w:rPr>
      </w:pPr>
      <w:r>
        <w:rPr>
          <w:rFonts w:hint="eastAsia" w:ascii="宋体" w:hAnsi="宋体"/>
          <w:b/>
          <w:sz w:val="28"/>
          <w:szCs w:val="21"/>
        </w:rPr>
        <w:t>综合评分</w:t>
      </w:r>
    </w:p>
    <w:p w14:paraId="09E102C9">
      <w:pPr>
        <w:keepNext w:val="0"/>
        <w:keepLines w:val="0"/>
        <w:pageBreakBefore w:val="0"/>
        <w:kinsoku/>
        <w:wordWrap/>
        <w:overflowPunct/>
        <w:topLinePunct w:val="0"/>
        <w:autoSpaceDE/>
        <w:autoSpaceDN/>
        <w:bidi w:val="0"/>
        <w:adjustRightInd/>
        <w:snapToGrid/>
        <w:spacing w:beforeAutospacing="0" w:afterAutospacing="0" w:line="560" w:lineRule="exact"/>
        <w:ind w:firstLine="435"/>
        <w:textAlignment w:val="auto"/>
        <w:rPr>
          <w:rFonts w:ascii="宋体" w:hAnsi="宋体"/>
          <w:sz w:val="28"/>
          <w:szCs w:val="21"/>
        </w:rPr>
      </w:pPr>
      <w:r>
        <w:rPr>
          <w:rFonts w:hint="eastAsia" w:ascii="宋体" w:hAnsi="宋体"/>
          <w:sz w:val="28"/>
          <w:szCs w:val="21"/>
        </w:rPr>
        <w:t>1</w:t>
      </w:r>
      <w:r>
        <w:rPr>
          <w:rFonts w:ascii="宋体" w:hAnsi="宋体"/>
          <w:sz w:val="28"/>
          <w:szCs w:val="21"/>
        </w:rPr>
        <w:t>.1</w:t>
      </w:r>
      <w:r>
        <w:rPr>
          <w:rFonts w:hint="eastAsia" w:ascii="宋体" w:hAnsi="宋体"/>
          <w:sz w:val="28"/>
          <w:szCs w:val="21"/>
        </w:rPr>
        <w:t>磋商小组按照下表对进入综合评分的所有供应商的响应文件进行综合评分。（计算结果以四舍五入方式保留小数点后一位）。</w:t>
      </w:r>
    </w:p>
    <w:p w14:paraId="2ADA2B99">
      <w:pPr>
        <w:keepNext w:val="0"/>
        <w:keepLines w:val="0"/>
        <w:pageBreakBefore w:val="0"/>
        <w:kinsoku/>
        <w:wordWrap/>
        <w:overflowPunct/>
        <w:topLinePunct w:val="0"/>
        <w:autoSpaceDE/>
        <w:autoSpaceDN/>
        <w:bidi w:val="0"/>
        <w:adjustRightInd/>
        <w:snapToGrid/>
        <w:spacing w:beforeAutospacing="0" w:afterAutospacing="0" w:line="560" w:lineRule="exact"/>
        <w:ind w:firstLine="435"/>
        <w:textAlignment w:val="auto"/>
        <w:rPr>
          <w:rFonts w:ascii="宋体" w:hAnsi="宋体"/>
          <w:sz w:val="28"/>
          <w:szCs w:val="21"/>
        </w:rPr>
      </w:pPr>
      <w:r>
        <w:rPr>
          <w:rFonts w:hint="eastAsia" w:ascii="宋体" w:hAnsi="宋体"/>
          <w:sz w:val="28"/>
          <w:szCs w:val="21"/>
        </w:rPr>
        <w:t>1</w:t>
      </w:r>
      <w:r>
        <w:rPr>
          <w:rFonts w:ascii="宋体" w:hAnsi="宋体"/>
          <w:sz w:val="28"/>
          <w:szCs w:val="21"/>
        </w:rPr>
        <w:t>.</w:t>
      </w:r>
      <w:r>
        <w:rPr>
          <w:rFonts w:hint="eastAsia" w:ascii="宋体" w:hAnsi="宋体"/>
          <w:sz w:val="28"/>
          <w:szCs w:val="21"/>
        </w:rPr>
        <w:t>2按供应商综合评审得分由高到低顺序排列，由评标小组推荐成交候选人。得分相同的，按最终响应报价由低到高顺序排列。评审得分且最后报价相同的，按照技术得分由高到低顺序推荐。</w:t>
      </w:r>
    </w:p>
    <w:p w14:paraId="6A4D559E">
      <w:pPr>
        <w:keepNext w:val="0"/>
        <w:keepLines w:val="0"/>
        <w:pageBreakBefore w:val="0"/>
        <w:kinsoku/>
        <w:wordWrap/>
        <w:overflowPunct/>
        <w:topLinePunct w:val="0"/>
        <w:autoSpaceDE/>
        <w:autoSpaceDN/>
        <w:bidi w:val="0"/>
        <w:adjustRightInd/>
        <w:snapToGrid/>
        <w:spacing w:beforeAutospacing="0" w:afterAutospacing="0" w:line="560" w:lineRule="exact"/>
        <w:ind w:firstLine="435"/>
        <w:textAlignment w:val="auto"/>
        <w:rPr>
          <w:rFonts w:ascii="宋体" w:hAnsi="宋体"/>
          <w:sz w:val="28"/>
          <w:szCs w:val="21"/>
        </w:rPr>
      </w:pPr>
      <w:r>
        <w:rPr>
          <w:rFonts w:ascii="宋体" w:hAnsi="宋体"/>
          <w:sz w:val="28"/>
          <w:szCs w:val="21"/>
        </w:rPr>
        <w:t>1.3</w:t>
      </w:r>
      <w:r>
        <w:rPr>
          <w:rFonts w:hint="eastAsia" w:ascii="宋体" w:hAnsi="宋体"/>
          <w:sz w:val="28"/>
          <w:szCs w:val="21"/>
        </w:rPr>
        <w:t>本项目综合评分满分为1</w:t>
      </w:r>
      <w:r>
        <w:rPr>
          <w:rFonts w:ascii="宋体" w:hAnsi="宋体"/>
          <w:sz w:val="28"/>
          <w:szCs w:val="21"/>
        </w:rPr>
        <w:t>00</w:t>
      </w:r>
      <w:r>
        <w:rPr>
          <w:rFonts w:hint="eastAsia" w:ascii="宋体" w:hAnsi="宋体"/>
          <w:sz w:val="28"/>
          <w:szCs w:val="21"/>
        </w:rPr>
        <w:t>分，其中：技术和资信分值占总分值的权重为60%，</w:t>
      </w:r>
      <w:r>
        <w:rPr>
          <w:rFonts w:ascii="宋体" w:hAnsi="宋体"/>
          <w:sz w:val="28"/>
          <w:szCs w:val="21"/>
        </w:rPr>
        <w:t xml:space="preserve">价格分值占总分值的权重为 </w:t>
      </w:r>
      <w:r>
        <w:rPr>
          <w:rFonts w:hint="eastAsia" w:ascii="宋体" w:hAnsi="宋体"/>
          <w:sz w:val="28"/>
          <w:szCs w:val="21"/>
        </w:rPr>
        <w:t>4</w:t>
      </w:r>
      <w:r>
        <w:rPr>
          <w:rFonts w:ascii="宋体" w:hAnsi="宋体"/>
          <w:sz w:val="28"/>
          <w:szCs w:val="21"/>
        </w:rPr>
        <w:t xml:space="preserve">0%。具体评分细则如下： </w:t>
      </w:r>
    </w:p>
    <w:p w14:paraId="3745D8D9">
      <w:pPr>
        <w:pStyle w:val="4"/>
        <w:shd w:val="clear" w:color="auto" w:fill="FFFFFF"/>
        <w:adjustRightInd w:val="0"/>
        <w:snapToGrid w:val="0"/>
        <w:spacing w:before="0" w:beforeAutospacing="0" w:after="0" w:afterAutospacing="0"/>
        <w:ind w:firstLine="560" w:firstLineChars="200"/>
        <w:textAlignment w:val="baseline"/>
        <w:rPr>
          <w:b w:val="0"/>
          <w:color w:val="000000" w:themeColor="text1"/>
          <w:sz w:val="28"/>
          <w:szCs w:val="28"/>
          <w14:textFill>
            <w14:solidFill>
              <w14:schemeClr w14:val="tx1"/>
            </w14:solidFill>
          </w14:textFill>
        </w:rPr>
      </w:pPr>
    </w:p>
    <w:tbl>
      <w:tblPr>
        <w:tblStyle w:val="11"/>
        <w:tblpPr w:leftFromText="180" w:rightFromText="180" w:vertAnchor="text" w:horzAnchor="page" w:tblpXSpec="center" w:tblpY="53"/>
        <w:tblOverlap w:val="never"/>
        <w:tblW w:w="8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7"/>
        <w:gridCol w:w="1726"/>
        <w:gridCol w:w="4442"/>
        <w:gridCol w:w="633"/>
      </w:tblGrid>
      <w:tr w14:paraId="36FB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247" w:type="dxa"/>
            <w:tcMar>
              <w:top w:w="15" w:type="dxa"/>
              <w:left w:w="15" w:type="dxa"/>
              <w:right w:w="15" w:type="dxa"/>
            </w:tcMar>
            <w:vAlign w:val="center"/>
          </w:tcPr>
          <w:p w14:paraId="2570C91F">
            <w:pPr>
              <w:pStyle w:val="9"/>
              <w:ind w:left="480" w:hanging="480"/>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类别</w:t>
            </w:r>
          </w:p>
        </w:tc>
        <w:tc>
          <w:tcPr>
            <w:tcW w:w="1726" w:type="dxa"/>
            <w:tcMar>
              <w:top w:w="15" w:type="dxa"/>
              <w:left w:w="15" w:type="dxa"/>
              <w:right w:w="15" w:type="dxa"/>
            </w:tcMar>
            <w:vAlign w:val="center"/>
          </w:tcPr>
          <w:p w14:paraId="136E17A1">
            <w:pPr>
              <w:pStyle w:val="9"/>
              <w:ind w:left="480" w:hanging="480"/>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评分内容</w:t>
            </w:r>
          </w:p>
        </w:tc>
        <w:tc>
          <w:tcPr>
            <w:tcW w:w="4442" w:type="dxa"/>
            <w:tcMar>
              <w:top w:w="15" w:type="dxa"/>
              <w:left w:w="15" w:type="dxa"/>
              <w:right w:w="15" w:type="dxa"/>
            </w:tcMar>
            <w:vAlign w:val="center"/>
          </w:tcPr>
          <w:p w14:paraId="578E1E10">
            <w:pPr>
              <w:pStyle w:val="9"/>
              <w:ind w:left="480" w:hanging="480"/>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评分标准</w:t>
            </w:r>
          </w:p>
        </w:tc>
        <w:tc>
          <w:tcPr>
            <w:tcW w:w="633" w:type="dxa"/>
            <w:tcMar>
              <w:top w:w="15" w:type="dxa"/>
              <w:left w:w="15" w:type="dxa"/>
              <w:right w:w="15" w:type="dxa"/>
            </w:tcMar>
            <w:vAlign w:val="center"/>
          </w:tcPr>
          <w:p w14:paraId="1FB84510">
            <w:pPr>
              <w:pStyle w:val="9"/>
              <w:ind w:left="480" w:hanging="480"/>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得分</w:t>
            </w:r>
          </w:p>
        </w:tc>
      </w:tr>
      <w:tr w14:paraId="1D65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 w:hRule="atLeast"/>
          <w:jc w:val="center"/>
        </w:trPr>
        <w:tc>
          <w:tcPr>
            <w:tcW w:w="1247" w:type="dxa"/>
            <w:vMerge w:val="restart"/>
            <w:tcMar>
              <w:top w:w="15" w:type="dxa"/>
              <w:left w:w="15" w:type="dxa"/>
              <w:right w:w="15" w:type="dxa"/>
            </w:tcMar>
            <w:vAlign w:val="center"/>
          </w:tcPr>
          <w:p w14:paraId="3DC34B7B">
            <w:pPr>
              <w:pStyle w:val="9"/>
              <w:ind w:left="480" w:hanging="480"/>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技术分</w:t>
            </w:r>
          </w:p>
          <w:p w14:paraId="3D0894EC">
            <w:pPr>
              <w:pStyle w:val="9"/>
              <w:ind w:left="480" w:hanging="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（服务质量）</w:t>
            </w:r>
          </w:p>
          <w:p w14:paraId="260FBCFC">
            <w:pPr>
              <w:pStyle w:val="9"/>
              <w:ind w:left="480" w:hanging="480"/>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0分）</w:t>
            </w:r>
          </w:p>
        </w:tc>
        <w:tc>
          <w:tcPr>
            <w:tcW w:w="1726" w:type="dxa"/>
            <w:tcMar>
              <w:top w:w="15" w:type="dxa"/>
              <w:left w:w="15" w:type="dxa"/>
              <w:right w:w="15" w:type="dxa"/>
            </w:tcMar>
            <w:vAlign w:val="center"/>
          </w:tcPr>
          <w:p w14:paraId="0A755AE9">
            <w:pPr>
              <w:pStyle w:val="9"/>
              <w:ind w:left="480" w:hanging="480"/>
              <w:jc w:val="center"/>
              <w:rPr>
                <w:rFonts w:ascii="宋体" w:hAnsi="宋体"/>
                <w:sz w:val="24"/>
              </w:rPr>
            </w:pPr>
            <w:r>
              <w:rPr>
                <w:rFonts w:hint="eastAsia" w:ascii="宋体" w:hAnsi="宋体"/>
                <w:sz w:val="24"/>
              </w:rPr>
              <w:t>供货方案</w:t>
            </w:r>
          </w:p>
          <w:p w14:paraId="65B94329">
            <w:pPr>
              <w:pStyle w:val="9"/>
              <w:ind w:left="480" w:hanging="480"/>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15</w:t>
            </w:r>
            <w:r>
              <w:rPr>
                <w:rFonts w:ascii="宋体" w:hAnsi="宋体" w:cs="宋体"/>
                <w:color w:val="000000" w:themeColor="text1"/>
                <w:sz w:val="24"/>
                <w14:textFill>
                  <w14:solidFill>
                    <w14:schemeClr w14:val="tx1"/>
                  </w14:solidFill>
                </w14:textFill>
              </w:rPr>
              <w:t>分）</w:t>
            </w:r>
          </w:p>
        </w:tc>
        <w:tc>
          <w:tcPr>
            <w:tcW w:w="4442" w:type="dxa"/>
            <w:tcMar>
              <w:top w:w="15" w:type="dxa"/>
              <w:left w:w="15" w:type="dxa"/>
              <w:right w:w="15" w:type="dxa"/>
            </w:tcMar>
            <w:vAlign w:val="center"/>
          </w:tcPr>
          <w:p w14:paraId="7B3538BF">
            <w:pPr>
              <w:pStyle w:val="9"/>
              <w:ind w:left="480" w:hanging="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优秀得</w:t>
            </w:r>
            <w:r>
              <w:rPr>
                <w:rFonts w:hint="eastAsia" w:ascii="宋体" w:hAnsi="宋体" w:cs="宋体"/>
                <w:color w:val="000000" w:themeColor="text1"/>
                <w:sz w:val="24"/>
                <w14:textFill>
                  <w14:solidFill>
                    <w14:schemeClr w14:val="tx1"/>
                  </w14:solidFill>
                </w14:textFill>
              </w:rPr>
              <w:t>10</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15</w:t>
            </w:r>
            <w:r>
              <w:rPr>
                <w:rFonts w:ascii="宋体" w:hAnsi="宋体" w:cs="宋体"/>
                <w:color w:val="000000" w:themeColor="text1"/>
                <w:sz w:val="24"/>
                <w14:textFill>
                  <w14:solidFill>
                    <w14:schemeClr w14:val="tx1"/>
                  </w14:solidFill>
                </w14:textFill>
              </w:rPr>
              <w:t>分，良好得</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10</w:t>
            </w:r>
            <w:r>
              <w:rPr>
                <w:rFonts w:ascii="宋体" w:hAnsi="宋体" w:cs="宋体"/>
                <w:color w:val="000000" w:themeColor="text1"/>
                <w:sz w:val="24"/>
                <w14:textFill>
                  <w14:solidFill>
                    <w14:schemeClr w14:val="tx1"/>
                  </w14:solidFill>
                </w14:textFill>
              </w:rPr>
              <w:t>分，一般得</w:t>
            </w:r>
            <w:r>
              <w:rPr>
                <w:rFonts w:hint="eastAsia" w:ascii="宋体" w:hAnsi="宋体" w:cs="宋体"/>
                <w:color w:val="000000" w:themeColor="text1"/>
                <w:sz w:val="24"/>
                <w14:textFill>
                  <w14:solidFill>
                    <w14:schemeClr w14:val="tx1"/>
                  </w14:solidFill>
                </w14:textFill>
              </w:rPr>
              <w:t>0</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分</w:t>
            </w:r>
          </w:p>
        </w:tc>
        <w:tc>
          <w:tcPr>
            <w:tcW w:w="633" w:type="dxa"/>
            <w:tcMar>
              <w:top w:w="15" w:type="dxa"/>
              <w:left w:w="15" w:type="dxa"/>
              <w:right w:w="15" w:type="dxa"/>
            </w:tcMar>
            <w:vAlign w:val="center"/>
          </w:tcPr>
          <w:p w14:paraId="213A9A6A">
            <w:pPr>
              <w:pStyle w:val="9"/>
              <w:ind w:left="480" w:hanging="480"/>
              <w:rPr>
                <w:rFonts w:ascii="宋体" w:hAnsi="宋体" w:cs="宋体"/>
                <w:color w:val="000000" w:themeColor="text1"/>
                <w:sz w:val="24"/>
                <w14:textFill>
                  <w14:solidFill>
                    <w14:schemeClr w14:val="tx1"/>
                  </w14:solidFill>
                </w14:textFill>
              </w:rPr>
            </w:pPr>
          </w:p>
        </w:tc>
      </w:tr>
      <w:tr w14:paraId="4DF8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1247" w:type="dxa"/>
            <w:vMerge w:val="continue"/>
            <w:tcMar>
              <w:top w:w="15" w:type="dxa"/>
              <w:left w:w="15" w:type="dxa"/>
              <w:right w:w="15" w:type="dxa"/>
            </w:tcMar>
            <w:vAlign w:val="center"/>
          </w:tcPr>
          <w:p w14:paraId="57C0C1FB">
            <w:pPr>
              <w:pStyle w:val="9"/>
              <w:ind w:left="480" w:hanging="480"/>
              <w:jc w:val="center"/>
              <w:rPr>
                <w:rFonts w:ascii="宋体" w:hAnsi="宋体" w:cs="宋体"/>
                <w:color w:val="000000" w:themeColor="text1"/>
                <w:sz w:val="24"/>
                <w14:textFill>
                  <w14:solidFill>
                    <w14:schemeClr w14:val="tx1"/>
                  </w14:solidFill>
                </w14:textFill>
              </w:rPr>
            </w:pPr>
          </w:p>
        </w:tc>
        <w:tc>
          <w:tcPr>
            <w:tcW w:w="1726" w:type="dxa"/>
            <w:tcMar>
              <w:top w:w="15" w:type="dxa"/>
              <w:left w:w="15" w:type="dxa"/>
              <w:right w:w="15" w:type="dxa"/>
            </w:tcMar>
            <w:vAlign w:val="center"/>
          </w:tcPr>
          <w:p w14:paraId="67972FE2">
            <w:pPr>
              <w:pStyle w:val="9"/>
              <w:ind w:left="480" w:hanging="480"/>
              <w:jc w:val="center"/>
              <w:rPr>
                <w:rFonts w:ascii="宋体" w:hAnsi="宋体" w:cs="宋体"/>
                <w:color w:val="000000" w:themeColor="text1"/>
                <w:sz w:val="24"/>
                <w14:textFill>
                  <w14:solidFill>
                    <w14:schemeClr w14:val="tx1"/>
                  </w14:solidFill>
                </w14:textFill>
              </w:rPr>
            </w:pPr>
            <w:r>
              <w:rPr>
                <w:rFonts w:hint="eastAsia" w:ascii="宋体" w:hAnsi="宋体"/>
                <w:sz w:val="24"/>
              </w:rPr>
              <w:t>售后服务</w:t>
            </w:r>
            <w:r>
              <w:rPr>
                <w:rFonts w:ascii="宋体" w:hAnsi="宋体" w:cs="宋体"/>
                <w:color w:val="000000" w:themeColor="text1"/>
                <w:sz w:val="24"/>
                <w14:textFill>
                  <w14:solidFill>
                    <w14:schemeClr w14:val="tx1"/>
                  </w14:solidFill>
                </w14:textFill>
              </w:rPr>
              <w:t>方案</w:t>
            </w:r>
          </w:p>
          <w:p w14:paraId="0EE7C11F">
            <w:pPr>
              <w:pStyle w:val="9"/>
              <w:ind w:left="480" w:hanging="480"/>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15</w:t>
            </w:r>
            <w:r>
              <w:rPr>
                <w:rFonts w:ascii="宋体" w:hAnsi="宋体" w:cs="宋体"/>
                <w:color w:val="000000" w:themeColor="text1"/>
                <w:sz w:val="24"/>
                <w14:textFill>
                  <w14:solidFill>
                    <w14:schemeClr w14:val="tx1"/>
                  </w14:solidFill>
                </w14:textFill>
              </w:rPr>
              <w:t>分）</w:t>
            </w:r>
          </w:p>
        </w:tc>
        <w:tc>
          <w:tcPr>
            <w:tcW w:w="4442" w:type="dxa"/>
            <w:tcMar>
              <w:top w:w="15" w:type="dxa"/>
              <w:left w:w="15" w:type="dxa"/>
              <w:right w:w="15" w:type="dxa"/>
            </w:tcMar>
            <w:vAlign w:val="center"/>
          </w:tcPr>
          <w:p w14:paraId="646CD45A">
            <w:pPr>
              <w:pStyle w:val="9"/>
              <w:ind w:left="480" w:hanging="480"/>
              <w:jc w:val="left"/>
              <w:rPr>
                <w:rFonts w:ascii="宋体" w:hAnsi="宋体"/>
                <w:sz w:val="24"/>
                <w:szCs w:val="20"/>
              </w:rPr>
            </w:pPr>
            <w:r>
              <w:rPr>
                <w:rFonts w:ascii="宋体" w:hAnsi="宋体"/>
                <w:sz w:val="24"/>
                <w:szCs w:val="20"/>
              </w:rPr>
              <w:t>优秀得</w:t>
            </w:r>
            <w:r>
              <w:rPr>
                <w:rFonts w:hint="eastAsia" w:ascii="宋体" w:hAnsi="宋体"/>
                <w:sz w:val="24"/>
                <w:szCs w:val="20"/>
              </w:rPr>
              <w:t>10</w:t>
            </w:r>
            <w:r>
              <w:rPr>
                <w:rFonts w:ascii="宋体" w:hAnsi="宋体"/>
                <w:sz w:val="24"/>
                <w:szCs w:val="20"/>
              </w:rPr>
              <w:t>-</w:t>
            </w:r>
            <w:r>
              <w:rPr>
                <w:rFonts w:hint="eastAsia" w:ascii="宋体" w:hAnsi="宋体"/>
                <w:sz w:val="24"/>
                <w:szCs w:val="20"/>
              </w:rPr>
              <w:t>15</w:t>
            </w:r>
            <w:r>
              <w:rPr>
                <w:rFonts w:ascii="宋体" w:hAnsi="宋体"/>
                <w:sz w:val="24"/>
                <w:szCs w:val="20"/>
              </w:rPr>
              <w:t>分，良好得</w:t>
            </w:r>
            <w:r>
              <w:rPr>
                <w:rFonts w:hint="eastAsia" w:ascii="宋体" w:hAnsi="宋体"/>
                <w:sz w:val="24"/>
                <w:szCs w:val="20"/>
              </w:rPr>
              <w:t>5</w:t>
            </w:r>
            <w:r>
              <w:rPr>
                <w:rFonts w:ascii="宋体" w:hAnsi="宋体"/>
                <w:sz w:val="24"/>
                <w:szCs w:val="20"/>
              </w:rPr>
              <w:t>-</w:t>
            </w:r>
            <w:r>
              <w:rPr>
                <w:rFonts w:hint="eastAsia" w:ascii="宋体" w:hAnsi="宋体"/>
                <w:sz w:val="24"/>
                <w:szCs w:val="20"/>
              </w:rPr>
              <w:t>10</w:t>
            </w:r>
            <w:r>
              <w:rPr>
                <w:rFonts w:ascii="宋体" w:hAnsi="宋体"/>
                <w:sz w:val="24"/>
                <w:szCs w:val="20"/>
              </w:rPr>
              <w:t>分，一般得</w:t>
            </w:r>
            <w:r>
              <w:rPr>
                <w:rFonts w:hint="eastAsia" w:ascii="宋体" w:hAnsi="宋体"/>
                <w:sz w:val="24"/>
                <w:szCs w:val="20"/>
              </w:rPr>
              <w:t>0</w:t>
            </w:r>
            <w:r>
              <w:rPr>
                <w:rFonts w:ascii="宋体" w:hAnsi="宋体"/>
                <w:sz w:val="24"/>
                <w:szCs w:val="20"/>
              </w:rPr>
              <w:t>-</w:t>
            </w:r>
            <w:r>
              <w:rPr>
                <w:rFonts w:hint="eastAsia" w:ascii="宋体" w:hAnsi="宋体"/>
                <w:sz w:val="24"/>
                <w:szCs w:val="20"/>
              </w:rPr>
              <w:t>5</w:t>
            </w:r>
            <w:r>
              <w:rPr>
                <w:rFonts w:ascii="宋体" w:hAnsi="宋体"/>
                <w:sz w:val="24"/>
                <w:szCs w:val="20"/>
              </w:rPr>
              <w:t>分</w:t>
            </w:r>
          </w:p>
        </w:tc>
        <w:tc>
          <w:tcPr>
            <w:tcW w:w="633" w:type="dxa"/>
            <w:tcMar>
              <w:top w:w="15" w:type="dxa"/>
              <w:left w:w="15" w:type="dxa"/>
              <w:right w:w="15" w:type="dxa"/>
            </w:tcMar>
            <w:vAlign w:val="center"/>
          </w:tcPr>
          <w:p w14:paraId="3C238F8A">
            <w:pPr>
              <w:pStyle w:val="9"/>
              <w:ind w:left="480" w:hanging="480"/>
              <w:rPr>
                <w:rFonts w:ascii="宋体" w:hAnsi="宋体" w:cs="宋体"/>
                <w:color w:val="000000" w:themeColor="text1"/>
                <w:sz w:val="24"/>
                <w14:textFill>
                  <w14:solidFill>
                    <w14:schemeClr w14:val="tx1"/>
                  </w14:solidFill>
                </w14:textFill>
              </w:rPr>
            </w:pPr>
          </w:p>
        </w:tc>
      </w:tr>
      <w:tr w14:paraId="1981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atLeast"/>
          <w:jc w:val="center"/>
        </w:trPr>
        <w:tc>
          <w:tcPr>
            <w:tcW w:w="1247" w:type="dxa"/>
            <w:vMerge w:val="restart"/>
            <w:tcMar>
              <w:top w:w="15" w:type="dxa"/>
              <w:left w:w="15" w:type="dxa"/>
              <w:right w:w="15" w:type="dxa"/>
            </w:tcMar>
            <w:vAlign w:val="center"/>
          </w:tcPr>
          <w:p w14:paraId="7540320B">
            <w:pPr>
              <w:pStyle w:val="9"/>
              <w:ind w:left="480" w:hanging="480"/>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资信分</w:t>
            </w:r>
          </w:p>
          <w:p w14:paraId="486044B5">
            <w:pPr>
              <w:pStyle w:val="9"/>
              <w:ind w:left="480" w:hanging="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（服务能力）</w:t>
            </w:r>
          </w:p>
          <w:p w14:paraId="042A1BAB">
            <w:pPr>
              <w:pStyle w:val="9"/>
              <w:ind w:left="480" w:hanging="480"/>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0分）</w:t>
            </w:r>
          </w:p>
        </w:tc>
        <w:tc>
          <w:tcPr>
            <w:tcW w:w="1726" w:type="dxa"/>
            <w:tcMar>
              <w:top w:w="15" w:type="dxa"/>
              <w:left w:w="15" w:type="dxa"/>
              <w:right w:w="15" w:type="dxa"/>
            </w:tcMar>
            <w:vAlign w:val="center"/>
          </w:tcPr>
          <w:p w14:paraId="0846D9D4">
            <w:pPr>
              <w:pStyle w:val="9"/>
              <w:ind w:left="480" w:hanging="480"/>
              <w:jc w:val="center"/>
              <w:rPr>
                <w:rFonts w:cs="宋体" w:asciiTheme="minorEastAsia" w:hAnsiTheme="minorEastAsia" w:eastAsiaTheme="minorEastAsia"/>
                <w:sz w:val="24"/>
              </w:rPr>
            </w:pPr>
            <w:r>
              <w:rPr>
                <w:rFonts w:hint="eastAsia" w:cs="宋体" w:asciiTheme="minorEastAsia" w:hAnsiTheme="minorEastAsia" w:eastAsiaTheme="minorEastAsia"/>
                <w:sz w:val="24"/>
              </w:rPr>
              <w:t>供应商业绩</w:t>
            </w:r>
          </w:p>
          <w:p w14:paraId="7EFEC77A">
            <w:pPr>
              <w:pStyle w:val="9"/>
              <w:ind w:left="480" w:hanging="480"/>
              <w:jc w:val="center"/>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sz w:val="24"/>
              </w:rPr>
              <w:t>（10分）</w:t>
            </w:r>
          </w:p>
        </w:tc>
        <w:tc>
          <w:tcPr>
            <w:tcW w:w="4442" w:type="dxa"/>
            <w:tcMar>
              <w:top w:w="15" w:type="dxa"/>
              <w:left w:w="15" w:type="dxa"/>
              <w:right w:w="15" w:type="dxa"/>
            </w:tcMar>
            <w:vAlign w:val="center"/>
          </w:tcPr>
          <w:p w14:paraId="7551EF94">
            <w:pPr>
              <w:widowControl/>
              <w:spacing w:line="360" w:lineRule="auto"/>
              <w:jc w:val="left"/>
              <w:rPr>
                <w:rFonts w:ascii="宋体" w:hAnsi="宋体"/>
                <w:sz w:val="24"/>
              </w:rPr>
            </w:pPr>
            <w:r>
              <w:rPr>
                <w:rFonts w:hint="eastAsia" w:ascii="宋体" w:hAnsi="宋体"/>
                <w:sz w:val="24"/>
              </w:rPr>
              <w:t>投标供应商自20</w:t>
            </w:r>
            <w:r>
              <w:rPr>
                <w:rFonts w:ascii="宋体" w:hAnsi="宋体"/>
                <w:sz w:val="24"/>
              </w:rPr>
              <w:t>2</w:t>
            </w:r>
            <w:r>
              <w:rPr>
                <w:rFonts w:hint="eastAsia" w:ascii="宋体" w:hAnsi="宋体"/>
                <w:sz w:val="24"/>
                <w:lang w:val="en-US" w:eastAsia="zh-CN"/>
              </w:rPr>
              <w:t>2</w:t>
            </w:r>
            <w:r>
              <w:rPr>
                <w:rFonts w:hint="eastAsia" w:ascii="宋体" w:hAnsi="宋体"/>
                <w:sz w:val="24"/>
              </w:rPr>
              <w:t>年1月1日以来（以合同签订时间为准），具有类似项目（教材采购）的供货业绩，每提供1个业绩得2分，满分 10分。</w:t>
            </w:r>
          </w:p>
        </w:tc>
        <w:tc>
          <w:tcPr>
            <w:tcW w:w="633" w:type="dxa"/>
            <w:tcMar>
              <w:top w:w="15" w:type="dxa"/>
              <w:left w:w="15" w:type="dxa"/>
              <w:right w:w="15" w:type="dxa"/>
            </w:tcMar>
            <w:vAlign w:val="center"/>
          </w:tcPr>
          <w:p w14:paraId="6EB1E415">
            <w:pPr>
              <w:pStyle w:val="9"/>
              <w:ind w:left="480" w:hanging="480"/>
              <w:rPr>
                <w:rFonts w:ascii="宋体" w:hAnsi="宋体" w:cs="宋体"/>
                <w:color w:val="000000" w:themeColor="text1"/>
                <w:sz w:val="24"/>
                <w14:textFill>
                  <w14:solidFill>
                    <w14:schemeClr w14:val="tx1"/>
                  </w14:solidFill>
                </w14:textFill>
              </w:rPr>
            </w:pPr>
          </w:p>
        </w:tc>
      </w:tr>
      <w:tr w14:paraId="72E2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 w:hRule="atLeast"/>
          <w:jc w:val="center"/>
        </w:trPr>
        <w:tc>
          <w:tcPr>
            <w:tcW w:w="1247" w:type="dxa"/>
            <w:vMerge w:val="continue"/>
            <w:tcMar>
              <w:top w:w="15" w:type="dxa"/>
              <w:left w:w="15" w:type="dxa"/>
              <w:right w:w="15" w:type="dxa"/>
            </w:tcMar>
            <w:vAlign w:val="center"/>
          </w:tcPr>
          <w:p w14:paraId="30C44BCF">
            <w:pPr>
              <w:pStyle w:val="9"/>
              <w:ind w:left="480" w:hanging="480"/>
              <w:rPr>
                <w:rFonts w:ascii="宋体" w:hAnsi="宋体" w:cs="宋体"/>
                <w:color w:val="000000" w:themeColor="text1"/>
                <w:sz w:val="24"/>
                <w14:textFill>
                  <w14:solidFill>
                    <w14:schemeClr w14:val="tx1"/>
                  </w14:solidFill>
                </w14:textFill>
              </w:rPr>
            </w:pPr>
          </w:p>
        </w:tc>
        <w:tc>
          <w:tcPr>
            <w:tcW w:w="1726" w:type="dxa"/>
            <w:tcMar>
              <w:top w:w="15" w:type="dxa"/>
              <w:left w:w="15" w:type="dxa"/>
              <w:right w:w="15" w:type="dxa"/>
            </w:tcMar>
            <w:vAlign w:val="center"/>
          </w:tcPr>
          <w:p w14:paraId="00837ED6">
            <w:pPr>
              <w:pStyle w:val="9"/>
              <w:ind w:left="480" w:hanging="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出版社代理</w:t>
            </w:r>
          </w:p>
          <w:p w14:paraId="77B79AF0">
            <w:pPr>
              <w:pStyle w:val="9"/>
              <w:ind w:left="480" w:hanging="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（10分</w:t>
            </w:r>
            <w:r>
              <w:rPr>
                <w:rFonts w:ascii="宋体" w:hAnsi="宋体" w:cs="宋体"/>
                <w:color w:val="000000" w:themeColor="text1"/>
                <w:sz w:val="24"/>
                <w14:textFill>
                  <w14:solidFill>
                    <w14:schemeClr w14:val="tx1"/>
                  </w14:solidFill>
                </w14:textFill>
              </w:rPr>
              <w:t>）</w:t>
            </w:r>
          </w:p>
        </w:tc>
        <w:tc>
          <w:tcPr>
            <w:tcW w:w="4442" w:type="dxa"/>
            <w:tcMar>
              <w:top w:w="15" w:type="dxa"/>
              <w:left w:w="15" w:type="dxa"/>
              <w:right w:w="15" w:type="dxa"/>
            </w:tcMar>
            <w:vAlign w:val="center"/>
          </w:tcPr>
          <w:p w14:paraId="33BBCF60">
            <w:pPr>
              <w:rPr>
                <w:rFonts w:ascii="宋体" w:hAnsi="宋体"/>
                <w:sz w:val="24"/>
              </w:rPr>
            </w:pPr>
            <w:r>
              <w:rPr>
                <w:rFonts w:hint="eastAsia" w:ascii="宋体" w:hAnsi="宋体"/>
                <w:sz w:val="24"/>
              </w:rPr>
              <w:t>20</w:t>
            </w:r>
            <w:r>
              <w:rPr>
                <w:rFonts w:ascii="宋体" w:hAnsi="宋体"/>
                <w:sz w:val="24"/>
              </w:rPr>
              <w:t>2</w:t>
            </w:r>
            <w:r>
              <w:rPr>
                <w:rFonts w:hint="eastAsia" w:ascii="宋体" w:hAnsi="宋体"/>
                <w:sz w:val="24"/>
                <w:lang w:val="en-US" w:eastAsia="zh-CN"/>
              </w:rPr>
              <w:t>2</w:t>
            </w:r>
            <w:r>
              <w:rPr>
                <w:rFonts w:hint="eastAsia" w:ascii="宋体" w:hAnsi="宋体"/>
                <w:sz w:val="24"/>
              </w:rPr>
              <w:t>年1月1日至今具有国家正规出版社有效的代理销售教材授权证明；每提供1家出版社得1分，满分10分。</w:t>
            </w:r>
          </w:p>
        </w:tc>
        <w:tc>
          <w:tcPr>
            <w:tcW w:w="633" w:type="dxa"/>
            <w:tcMar>
              <w:top w:w="15" w:type="dxa"/>
              <w:left w:w="15" w:type="dxa"/>
              <w:right w:w="15" w:type="dxa"/>
            </w:tcMar>
            <w:vAlign w:val="center"/>
          </w:tcPr>
          <w:p w14:paraId="6A75262C">
            <w:pPr>
              <w:pStyle w:val="9"/>
              <w:ind w:left="480" w:hanging="480"/>
              <w:rPr>
                <w:rFonts w:ascii="宋体" w:hAnsi="宋体" w:cs="宋体"/>
                <w:color w:val="000000" w:themeColor="text1"/>
                <w:sz w:val="24"/>
                <w14:textFill>
                  <w14:solidFill>
                    <w14:schemeClr w14:val="tx1"/>
                  </w14:solidFill>
                </w14:textFill>
              </w:rPr>
            </w:pPr>
          </w:p>
        </w:tc>
      </w:tr>
      <w:tr w14:paraId="3EFD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3" w:hRule="atLeast"/>
          <w:jc w:val="center"/>
        </w:trPr>
        <w:tc>
          <w:tcPr>
            <w:tcW w:w="1247" w:type="dxa"/>
            <w:vMerge w:val="continue"/>
            <w:tcMar>
              <w:top w:w="15" w:type="dxa"/>
              <w:left w:w="15" w:type="dxa"/>
              <w:right w:w="15" w:type="dxa"/>
            </w:tcMar>
            <w:vAlign w:val="center"/>
          </w:tcPr>
          <w:p w14:paraId="3B16D6C7">
            <w:pPr>
              <w:pStyle w:val="9"/>
              <w:ind w:left="480" w:hanging="480"/>
              <w:rPr>
                <w:rFonts w:ascii="宋体" w:hAnsi="宋体" w:cs="宋体"/>
                <w:color w:val="000000" w:themeColor="text1"/>
                <w:sz w:val="24"/>
                <w14:textFill>
                  <w14:solidFill>
                    <w14:schemeClr w14:val="tx1"/>
                  </w14:solidFill>
                </w14:textFill>
              </w:rPr>
            </w:pPr>
          </w:p>
        </w:tc>
        <w:tc>
          <w:tcPr>
            <w:tcW w:w="1726" w:type="dxa"/>
            <w:tcMar>
              <w:top w:w="15" w:type="dxa"/>
              <w:left w:w="15" w:type="dxa"/>
              <w:right w:w="15" w:type="dxa"/>
            </w:tcMar>
            <w:vAlign w:val="center"/>
          </w:tcPr>
          <w:p w14:paraId="5071CC4E">
            <w:pPr>
              <w:pStyle w:val="9"/>
              <w:ind w:left="480" w:hanging="480"/>
              <w:jc w:val="center"/>
              <w:rPr>
                <w:rFonts w:ascii="宋体" w:hAnsi="宋体"/>
                <w:sz w:val="24"/>
              </w:rPr>
            </w:pPr>
            <w:r>
              <w:rPr>
                <w:rFonts w:hint="eastAsia" w:ascii="宋体" w:hAnsi="宋体"/>
                <w:sz w:val="24"/>
              </w:rPr>
              <w:t>仓储及运输能力</w:t>
            </w:r>
          </w:p>
          <w:p w14:paraId="47564AE9">
            <w:pPr>
              <w:pStyle w:val="9"/>
              <w:ind w:left="480" w:hanging="480"/>
              <w:jc w:val="center"/>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sz w:val="24"/>
              </w:rPr>
              <w:t>（10分）</w:t>
            </w:r>
          </w:p>
        </w:tc>
        <w:tc>
          <w:tcPr>
            <w:tcW w:w="4442" w:type="dxa"/>
            <w:tcMar>
              <w:top w:w="15" w:type="dxa"/>
              <w:left w:w="15" w:type="dxa"/>
              <w:right w:w="15" w:type="dxa"/>
            </w:tcMar>
            <w:vAlign w:val="center"/>
          </w:tcPr>
          <w:p w14:paraId="570170B3">
            <w:pPr>
              <w:widowControl/>
              <w:spacing w:line="360" w:lineRule="auto"/>
              <w:jc w:val="left"/>
              <w:rPr>
                <w:rFonts w:ascii="宋体" w:hAnsi="宋体"/>
                <w:sz w:val="24"/>
              </w:rPr>
            </w:pPr>
            <w:r>
              <w:rPr>
                <w:rFonts w:hint="eastAsia" w:ascii="宋体" w:hAnsi="宋体"/>
                <w:sz w:val="24"/>
              </w:rPr>
              <w:t>根据投标供应商的仓储能力（仓库面积、仓储条件、消防保护措施），运输能力（运送车辆数量、车辆综合情况）等进行综合评审，优秀得8-10分，良好得4-7分，一般1-3分，未提供不得分。</w:t>
            </w:r>
          </w:p>
        </w:tc>
        <w:tc>
          <w:tcPr>
            <w:tcW w:w="633" w:type="dxa"/>
            <w:tcMar>
              <w:top w:w="15" w:type="dxa"/>
              <w:left w:w="15" w:type="dxa"/>
              <w:right w:w="15" w:type="dxa"/>
            </w:tcMar>
            <w:vAlign w:val="center"/>
          </w:tcPr>
          <w:p w14:paraId="2F356CB5">
            <w:pPr>
              <w:pStyle w:val="9"/>
              <w:ind w:left="480" w:hanging="480"/>
              <w:rPr>
                <w:rFonts w:ascii="宋体" w:hAnsi="宋体" w:cs="宋体"/>
                <w:color w:val="000000" w:themeColor="text1"/>
                <w:sz w:val="24"/>
                <w14:textFill>
                  <w14:solidFill>
                    <w14:schemeClr w14:val="tx1"/>
                  </w14:solidFill>
                </w14:textFill>
              </w:rPr>
            </w:pPr>
          </w:p>
        </w:tc>
      </w:tr>
      <w:tr w14:paraId="0631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6" w:hRule="atLeast"/>
          <w:jc w:val="center"/>
        </w:trPr>
        <w:tc>
          <w:tcPr>
            <w:tcW w:w="1247" w:type="dxa"/>
            <w:tcMar>
              <w:top w:w="15" w:type="dxa"/>
              <w:left w:w="15" w:type="dxa"/>
              <w:right w:w="15" w:type="dxa"/>
            </w:tcMar>
            <w:vAlign w:val="center"/>
          </w:tcPr>
          <w:p w14:paraId="5CF0F080">
            <w:pPr>
              <w:pStyle w:val="9"/>
              <w:ind w:left="480" w:hanging="480"/>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价格分</w:t>
            </w:r>
          </w:p>
          <w:p w14:paraId="3AF706C5">
            <w:pPr>
              <w:pStyle w:val="9"/>
              <w:ind w:left="480" w:hanging="480"/>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0 分）</w:t>
            </w:r>
          </w:p>
        </w:tc>
        <w:tc>
          <w:tcPr>
            <w:tcW w:w="1726" w:type="dxa"/>
            <w:tcMar>
              <w:top w:w="15" w:type="dxa"/>
              <w:left w:w="15" w:type="dxa"/>
              <w:right w:w="15" w:type="dxa"/>
            </w:tcMar>
            <w:vAlign w:val="center"/>
          </w:tcPr>
          <w:p w14:paraId="7F688897">
            <w:pPr>
              <w:pStyle w:val="9"/>
              <w:ind w:left="480" w:hanging="480"/>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价格分</w:t>
            </w:r>
          </w:p>
          <w:p w14:paraId="53139039">
            <w:pPr>
              <w:pStyle w:val="9"/>
              <w:ind w:left="480" w:hanging="480"/>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0 分）</w:t>
            </w:r>
          </w:p>
        </w:tc>
        <w:tc>
          <w:tcPr>
            <w:tcW w:w="4442" w:type="dxa"/>
            <w:tcMar>
              <w:top w:w="15" w:type="dxa"/>
              <w:left w:w="15" w:type="dxa"/>
              <w:right w:w="15" w:type="dxa"/>
            </w:tcMar>
            <w:vAlign w:val="center"/>
          </w:tcPr>
          <w:p w14:paraId="093160D3">
            <w:pPr>
              <w:pStyle w:val="9"/>
              <w:ind w:left="0" w:firstLine="0" w:firstLineChars="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满足招标文件要求且投标折扣率最低的作为评标基准折扣率，其价格分为满分 </w:t>
            </w: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0 分。其他投标人的价格分统一按照下列公式计算：投标报价得分＝（评标基准折扣率/投标折扣率）×价格权值（</w:t>
            </w: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0%）×100，四舍五入小数点后保留</w:t>
            </w:r>
            <w:r>
              <w:rPr>
                <w:rFonts w:hint="eastAsia" w:ascii="宋体" w:hAnsi="宋体" w:cs="宋体"/>
                <w:color w:val="000000" w:themeColor="text1"/>
                <w:sz w:val="24"/>
                <w14:textFill>
                  <w14:solidFill>
                    <w14:schemeClr w14:val="tx1"/>
                  </w14:solidFill>
                </w14:textFill>
              </w:rPr>
              <w:t>一</w:t>
            </w:r>
            <w:r>
              <w:rPr>
                <w:rFonts w:ascii="宋体" w:hAnsi="宋体" w:cs="宋体"/>
                <w:color w:val="000000" w:themeColor="text1"/>
                <w:sz w:val="24"/>
                <w14:textFill>
                  <w14:solidFill>
                    <w14:schemeClr w14:val="tx1"/>
                  </w14:solidFill>
                </w14:textFill>
              </w:rPr>
              <w:t>位。</w:t>
            </w:r>
            <w:bookmarkStart w:id="0" w:name="_GoBack"/>
            <w:bookmarkEnd w:id="0"/>
          </w:p>
        </w:tc>
        <w:tc>
          <w:tcPr>
            <w:tcW w:w="633" w:type="dxa"/>
            <w:tcMar>
              <w:top w:w="15" w:type="dxa"/>
              <w:left w:w="15" w:type="dxa"/>
              <w:right w:w="15" w:type="dxa"/>
            </w:tcMar>
            <w:vAlign w:val="center"/>
          </w:tcPr>
          <w:p w14:paraId="6002B943">
            <w:pPr>
              <w:pStyle w:val="9"/>
              <w:ind w:left="480" w:hanging="480"/>
              <w:rPr>
                <w:rFonts w:ascii="宋体" w:hAnsi="宋体" w:cs="宋体"/>
                <w:color w:val="000000" w:themeColor="text1"/>
                <w:sz w:val="24"/>
                <w14:textFill>
                  <w14:solidFill>
                    <w14:schemeClr w14:val="tx1"/>
                  </w14:solidFill>
                </w14:textFill>
              </w:rPr>
            </w:pPr>
          </w:p>
        </w:tc>
      </w:tr>
    </w:tbl>
    <w:p w14:paraId="282875E3"/>
    <w:p w14:paraId="036866D5">
      <w:pPr>
        <w:pStyle w:val="10"/>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30" w:lineRule="atLeast"/>
      </w:pPr>
      <w:r>
        <w:rPr>
          <w:rFonts w:hint="default" w:ascii="Arial" w:hAnsi="Arial" w:cs="Arial"/>
          <w:color w:val="000000"/>
          <w:sz w:val="18"/>
          <w:szCs w:val="18"/>
          <w:shd w:val="clear" w:fill="FFFFFF"/>
        </w:rPr>
        <w:br w:type="textWrapping"/>
      </w:r>
      <w:r>
        <w:rPr>
          <w:rFonts w:hint="default" w:ascii="Arial" w:hAnsi="Arial" w:cs="Arial"/>
          <w:color w:val="000000"/>
          <w:sz w:val="18"/>
          <w:szCs w:val="18"/>
          <w:shd w:val="clear" w:fill="FFFFFF"/>
        </w:rPr>
        <w:t> </w:t>
      </w:r>
      <w:r>
        <w:rPr>
          <w:rFonts w:hint="default" w:ascii="Arial" w:hAnsi="Arial" w:cs="Arial"/>
          <w:color w:val="000000"/>
          <w:sz w:val="18"/>
          <w:szCs w:val="18"/>
          <w:shd w:val="clear" w:fill="FFFFFF"/>
        </w:rPr>
        <w:br w:type="textWrapping"/>
      </w:r>
      <w:r>
        <w:rPr>
          <w:rFonts w:hint="default" w:ascii="Arial" w:hAnsi="Arial" w:cs="Arial"/>
          <w:color w:val="000000"/>
          <w:sz w:val="18"/>
          <w:szCs w:val="18"/>
          <w:shd w:val="clear" w:fill="FFFFFF"/>
        </w:rPr>
        <w:t>  </w:t>
      </w:r>
      <w:r>
        <w:rPr>
          <w:rFonts w:hint="default" w:ascii="Arial" w:hAnsi="Arial" w:cs="Arial"/>
          <w:color w:val="000000"/>
          <w:sz w:val="18"/>
          <w:szCs w:val="18"/>
          <w:shd w:val="clear" w:fill="FFFFFF"/>
        </w:rPr>
        <w:br w:type="textWrapping"/>
      </w:r>
      <w:r>
        <w:rPr>
          <w:rFonts w:hint="default" w:ascii="Arial" w:hAnsi="Arial" w:cs="Arial"/>
          <w:color w:val="000000"/>
          <w:sz w:val="18"/>
          <w:szCs w:val="18"/>
          <w:shd w:val="clear" w:fill="FFFFFF"/>
        </w:rPr>
        <w:t> </w:t>
      </w:r>
      <w:r>
        <w:rPr>
          <w:rFonts w:hint="default" w:ascii="Arial" w:hAnsi="Arial" w:cs="Arial"/>
          <w:color w:val="000000"/>
          <w:sz w:val="18"/>
          <w:szCs w:val="18"/>
          <w:shd w:val="clear" w:fill="FFFFFF"/>
        </w:rPr>
        <w:br w:type="textWrapping"/>
      </w:r>
      <w:r>
        <w:rPr>
          <w:rFonts w:hint="default" w:ascii="Arial" w:hAnsi="Arial" w:cs="Arial"/>
          <w:color w:val="000000"/>
          <w:sz w:val="18"/>
          <w:szCs w:val="18"/>
          <w:shd w:val="clear" w:fill="FFFFFF"/>
        </w:rPr>
        <w:t> </w:t>
      </w:r>
    </w:p>
    <w:p w14:paraId="0C8F01DD">
      <w:pPr>
        <w:pStyle w:val="10"/>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30" w:lineRule="atLeast"/>
        <w:rPr>
          <w:shd w:val="clear" w:fill="FFFFFF"/>
        </w:rPr>
      </w:pPr>
      <w:r>
        <w:rPr>
          <w:shd w:val="clear" w:fill="FFFFFF"/>
        </w:rPr>
        <w:t> </w:t>
      </w:r>
    </w:p>
    <w:p w14:paraId="1FA797B3">
      <w:pPr>
        <w:pStyle w:val="10"/>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30" w:lineRule="atLeast"/>
        <w:rPr>
          <w:shd w:val="clear" w:fill="FFFFFF"/>
        </w:rPr>
      </w:pPr>
    </w:p>
    <w:p w14:paraId="33D69FCD">
      <w:pPr>
        <w:pStyle w:val="10"/>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30" w:lineRule="atLeast"/>
      </w:pPr>
      <w:r>
        <w:rPr>
          <w:shd w:val="clear" w:fill="FFFFFF"/>
        </w:rPr>
        <w:t> </w:t>
      </w:r>
    </w:p>
    <w:p w14:paraId="3813CF96">
      <w:pPr>
        <w:pStyle w:val="10"/>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30" w:lineRule="atLeast"/>
      </w:pPr>
      <w:r>
        <w:rPr>
          <w:shd w:val="clear" w:fill="FFFFFF"/>
        </w:rPr>
        <w:t> </w:t>
      </w:r>
    </w:p>
    <w:p w14:paraId="15148FB9">
      <w:pPr>
        <w:pStyle w:val="10"/>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30" w:lineRule="atLeast"/>
      </w:pPr>
      <w:r>
        <w:rPr>
          <w:shd w:val="clear" w:fill="FFFFFF"/>
        </w:rPr>
        <w:t> </w:t>
      </w:r>
    </w:p>
    <w:p w14:paraId="3FAB6D6E">
      <w:pPr>
        <w:pStyle w:val="2"/>
        <w:ind w:left="0" w:leftChars="0" w:firstLine="0" w:firstLineChars="0"/>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NTYwOTgwZDdjOTBmZTVhZjU2MzhlNjQwN2I3YzUifQ=="/>
  </w:docVars>
  <w:rsids>
    <w:rsidRoot w:val="3D982662"/>
    <w:rsid w:val="00000930"/>
    <w:rsid w:val="000262CE"/>
    <w:rsid w:val="00133FDB"/>
    <w:rsid w:val="001632A7"/>
    <w:rsid w:val="001733E5"/>
    <w:rsid w:val="00190055"/>
    <w:rsid w:val="001E5A29"/>
    <w:rsid w:val="002566FD"/>
    <w:rsid w:val="00261323"/>
    <w:rsid w:val="0027344B"/>
    <w:rsid w:val="00291AFF"/>
    <w:rsid w:val="002B47F6"/>
    <w:rsid w:val="002C130E"/>
    <w:rsid w:val="00316709"/>
    <w:rsid w:val="00340DD5"/>
    <w:rsid w:val="00341887"/>
    <w:rsid w:val="003C0BC7"/>
    <w:rsid w:val="003D0BBE"/>
    <w:rsid w:val="003F5B04"/>
    <w:rsid w:val="0059008A"/>
    <w:rsid w:val="005C3CCB"/>
    <w:rsid w:val="006757F0"/>
    <w:rsid w:val="006E568F"/>
    <w:rsid w:val="00831F60"/>
    <w:rsid w:val="00902ADA"/>
    <w:rsid w:val="00925CCA"/>
    <w:rsid w:val="00927D95"/>
    <w:rsid w:val="009614F5"/>
    <w:rsid w:val="009A29FF"/>
    <w:rsid w:val="009A636F"/>
    <w:rsid w:val="009C5297"/>
    <w:rsid w:val="00A35FED"/>
    <w:rsid w:val="00A83B8F"/>
    <w:rsid w:val="00AA11F6"/>
    <w:rsid w:val="00AB0EAC"/>
    <w:rsid w:val="00AD6794"/>
    <w:rsid w:val="00B071F0"/>
    <w:rsid w:val="00B1764A"/>
    <w:rsid w:val="00BB3FF0"/>
    <w:rsid w:val="00BE2375"/>
    <w:rsid w:val="00C14002"/>
    <w:rsid w:val="00C21E10"/>
    <w:rsid w:val="00C26996"/>
    <w:rsid w:val="00CA43CC"/>
    <w:rsid w:val="00CE30DB"/>
    <w:rsid w:val="00D17A22"/>
    <w:rsid w:val="00D57588"/>
    <w:rsid w:val="00DC0EAB"/>
    <w:rsid w:val="00EC778F"/>
    <w:rsid w:val="00EE489F"/>
    <w:rsid w:val="00F02946"/>
    <w:rsid w:val="060051E1"/>
    <w:rsid w:val="0E5C6AC2"/>
    <w:rsid w:val="12DF6FC3"/>
    <w:rsid w:val="1F075F6A"/>
    <w:rsid w:val="2FF7664F"/>
    <w:rsid w:val="3720098F"/>
    <w:rsid w:val="3B7B241B"/>
    <w:rsid w:val="3D982662"/>
    <w:rsid w:val="3F4E5A96"/>
    <w:rsid w:val="4F342984"/>
    <w:rsid w:val="552102D8"/>
    <w:rsid w:val="7C976EB8"/>
    <w:rsid w:val="7F6B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link w:val="16"/>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Plain Text"/>
    <w:basedOn w:val="1"/>
    <w:qFormat/>
    <w:uiPriority w:val="99"/>
    <w:rPr>
      <w:rFonts w:ascii="宋体" w:hAnsi="Courier New"/>
      <w:szCs w:val="22"/>
    </w:rPr>
  </w:style>
  <w:style w:type="paragraph" w:styleId="6">
    <w:name w:val="Date"/>
    <w:basedOn w:val="1"/>
    <w:next w:val="1"/>
    <w:qFormat/>
    <w:uiPriority w:val="0"/>
    <w:rPr>
      <w:rFonts w:ascii="Arial" w:hAnsi="Arial" w:cs="Arial"/>
      <w:b/>
      <w:sz w:val="2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List"/>
    <w:basedOn w:val="1"/>
    <w:qFormat/>
    <w:uiPriority w:val="0"/>
    <w:pPr>
      <w:ind w:left="200" w:hanging="200" w:hangingChars="200"/>
    </w:pPr>
    <w:rPr>
      <w:szCs w:val="24"/>
    </w:rPr>
  </w:style>
  <w:style w:type="paragraph" w:styleId="10">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customStyle="1" w:styleId="13">
    <w:name w:val="D&amp;L"/>
    <w:basedOn w:val="8"/>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kern w:val="0"/>
      <w:sz w:val="24"/>
      <w:szCs w:val="20"/>
    </w:rPr>
  </w:style>
  <w:style w:type="paragraph" w:customStyle="1" w:styleId="14">
    <w:name w:val="Char Char Char Char Char Char Char1 Char"/>
    <w:basedOn w:val="1"/>
    <w:qFormat/>
    <w:uiPriority w:val="0"/>
    <w:rPr>
      <w:rFonts w:ascii="Arial" w:hAnsi="Arial" w:cs="Arial"/>
      <w:sz w:val="24"/>
    </w:rPr>
  </w:style>
  <w:style w:type="character" w:customStyle="1" w:styleId="15">
    <w:name w:val="页脚 字符"/>
    <w:basedOn w:val="12"/>
    <w:link w:val="7"/>
    <w:qFormat/>
    <w:uiPriority w:val="0"/>
    <w:rPr>
      <w:rFonts w:ascii="Times New Roman" w:hAnsi="Times New Roman" w:eastAsia="宋体" w:cs="Times New Roman"/>
      <w:kern w:val="2"/>
      <w:sz w:val="18"/>
      <w:szCs w:val="18"/>
    </w:rPr>
  </w:style>
  <w:style w:type="character" w:customStyle="1" w:styleId="16">
    <w:name w:val="标题 2 字符"/>
    <w:basedOn w:val="12"/>
    <w:link w:val="4"/>
    <w:qFormat/>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1264</Words>
  <Characters>1331</Characters>
  <Lines>9</Lines>
  <Paragraphs>2</Paragraphs>
  <TotalTime>278</TotalTime>
  <ScaleCrop>false</ScaleCrop>
  <LinksUpToDate>false</LinksUpToDate>
  <CharactersWithSpaces>1347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2021-07-30T09:38:00Z</dcterms:created>
  <dc:creator>Administrator</dc:creator>
  <cp:lastModifiedBy>古木</cp:lastModifiedBy>
  <dcterms:modified xsi:type="dcterms:W3CDTF">2025-06-09T08:06:04Z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EC949B3EB10C4FDCA5DA105BCCCFD743</vt:lpwstr>
  </property>
  <property fmtid="{D5CDD505-2E9C-101B-9397-08002B2CF9AE}" pid="4" name="KSOTemplateDocerSaveRecord">
    <vt:lpwstr>eyJoZGlkIjoiYzNhZGRmZDJjYTdjZTQ4ZWFkZTg0OWEwYTZkOTU2NGEiLCJ1c2VySWQiOiIxMDg2MDE5NzE2In0=</vt:lpwstr>
  </property>
</Properties>
</file>