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widowControl/>
      </w:pPr>
      <w:bookmarkStart w:id="0" w:name="_GoBack"/>
      <w:bookmarkEnd w:id="0"/>
      <w:r>
        <w:t>2026年合肥体育运动学校科研、医务保障服务项目采购需求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采购需求表</w:t>
      </w:r>
    </w:p>
    <w:tbl>
      <w:tblPr>
        <w:tblStyle w:val="17"/>
        <w:tblW w:w="8522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6743"/>
      </w:tblGrid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项目名称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Theme="minorEastAsia" w:hAnsiTheme="minorEastAsia" w:eastAsiaTheme="minorEastAsia" w:cstheme="minorEastAsia"/>
                <w:sz w:val="24"/>
                <w:szCs w:val="18"/>
              </w:rPr>
            </w:pPr>
            <w:r>
              <w:rPr>
                <w:sz w:val="24"/>
                <w:szCs w:val="24"/>
              </w:rPr>
              <w:t>2026年合肥体育运动学校科研、医务保障服务项目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采购单位联系人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及电话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11"/>
              <w:snapToGrid w:val="0"/>
              <w:ind w:left="0" w:leftChars="0" w:firstLine="0" w:firstLineChars="0"/>
              <w:rPr>
                <w:rFonts w:ascii="宋体" w:hAnsi="宋体"/>
                <w:sz w:val="24"/>
                <w:szCs w:val="18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联系人：方莉   联系电话：0551-65562720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项目预算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18"/>
              </w:rPr>
              <w:t>2</w:t>
            </w:r>
            <w:r>
              <w:rPr>
                <w:rFonts w:hint="eastAsia" w:asciiTheme="minorEastAsia" w:hAnsiTheme="minorEastAsia" w:cstheme="minorEastAsia"/>
                <w:sz w:val="24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18"/>
                <w:lang w:val="en-US" w:eastAsia="zh-CN"/>
              </w:rPr>
              <w:t>.</w:t>
            </w:r>
            <w:r>
              <w:rPr>
                <w:rFonts w:hint="eastAsia" w:asciiTheme="minorEastAsia" w:hAnsiTheme="minorEastAsia" w:cstheme="minorEastAsia"/>
                <w:sz w:val="24"/>
                <w:szCs w:val="1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18"/>
              </w:rPr>
              <w:t>万元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项目概况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pStyle w:val="16"/>
              <w:widowControl/>
              <w:snapToGrid w:val="0"/>
              <w:jc w:val="both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4"/>
                <w:szCs w:val="24"/>
                <w:lang w:val="en-US" w:eastAsia="zh-CN" w:bidi="ar-SA"/>
              </w:rPr>
              <w:t>2026年合肥体育运动学校科研、医务保障服务项目采购需求,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详见磋商文件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采购方式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竞争性磋商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本项目是否接受联合体投标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投标人资格要求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18"/>
              </w:rPr>
              <w:t>1.满足《中华人民共和国政府采购法》第二十二条规定；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18"/>
              </w:rPr>
              <w:t>2.落实政府采购政策需满足的资格要求：供应商所提供的服务为中小微企业、监狱企业或残疾人福利性单位承接；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18"/>
              </w:rPr>
              <w:t>3.本项目的特定资格要求：无。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付款方式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18"/>
              </w:rPr>
            </w:pPr>
            <w:r>
              <w:rPr>
                <w:rFonts w:hint="default" w:ascii="Calibri" w:hAnsi="Calibri" w:cs="Calibri"/>
              </w:rPr>
              <w:t>合同签订且成交供应商开具同等金额发票后，支付合同金额的50%；合同期满年度履约考核合格后，支付剩余50%合同款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服务地点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合肥市，采购人指定地点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服务期限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/>
                <w:sz w:val="24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自合同签订之日起 1 年；考核合格可续签，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每次续签一年，累计续签不超过两次，合同金额不变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是否专门面向中小企业采购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 w:val="24"/>
                <w:szCs w:val="1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预留中小企业份额占比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全部预留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主要标的所属行业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其他未列明行业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tblHeader/>
          <w:jc w:val="center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拟采用的评标办法</w:t>
            </w:r>
          </w:p>
        </w:tc>
        <w:tc>
          <w:tcPr>
            <w:tcW w:w="6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综合评分法（分值设置：技术资信分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90</w:t>
            </w:r>
            <w:r>
              <w:rPr>
                <w:rFonts w:hint="eastAsia" w:ascii="宋体" w:hAnsi="宋体"/>
                <w:sz w:val="24"/>
                <w:szCs w:val="24"/>
              </w:rPr>
              <w:t>分，价格分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10</w:t>
            </w:r>
            <w:r>
              <w:rPr>
                <w:rFonts w:hint="eastAsia" w:ascii="宋体" w:hAnsi="宋体"/>
                <w:sz w:val="24"/>
                <w:szCs w:val="24"/>
              </w:rPr>
              <w:t>分）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sz w:val="24"/>
          <w:szCs w:val="24"/>
        </w:rPr>
      </w:pPr>
    </w:p>
    <w:p>
      <w:pPr>
        <w:pStyle w:val="2"/>
        <w:numPr>
          <w:ilvl w:val="0"/>
          <w:numId w:val="1"/>
        </w:numPr>
        <w:tabs>
          <w:tab w:val="left" w:pos="963"/>
        </w:tabs>
        <w:topLinePunct w:val="0"/>
        <w:ind w:left="0" w:leftChars="0" w:firstLine="482" w:firstLineChars="200"/>
      </w:pPr>
      <w:r>
        <w:t>项目概况</w:t>
      </w:r>
    </w:p>
    <w:p>
      <w:pPr>
        <w:pStyle w:val="11"/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为保障合肥体育运动学校青少年运动员训练康复、科研监测、赛事医疗需求，采购人通过竞争性磋商方式采购科研、医务保障一体化服务，服务内容包括运动损伤康复、专家会诊指导、赛事医疗保障、科研医务与身体机能监控，旨在提升运动员训练效率、降低运动损伤风险、保障赛事安全。</w:t>
      </w:r>
    </w:p>
    <w:p>
      <w:pPr>
        <w:pStyle w:val="2"/>
        <w:numPr>
          <w:ilvl w:val="0"/>
          <w:numId w:val="1"/>
        </w:numPr>
        <w:tabs>
          <w:tab w:val="left" w:pos="963"/>
        </w:tabs>
        <w:topLinePunct w:val="0"/>
        <w:ind w:left="0" w:leftChars="0" w:firstLine="482" w:firstLineChars="200"/>
      </w:pPr>
      <w:r>
        <w:t>服务内容与标准</w:t>
      </w:r>
    </w:p>
    <w:p>
      <w:pPr>
        <w:pStyle w:val="3"/>
        <w:numPr>
          <w:ilvl w:val="0"/>
          <w:numId w:val="2"/>
        </w:numPr>
        <w:tabs>
          <w:tab w:val="left" w:pos="1204"/>
        </w:tabs>
        <w:topLinePunct w:val="0"/>
        <w:ind w:left="0" w:leftChars="0" w:firstLine="482" w:firstLineChars="200"/>
      </w:pPr>
      <w:r>
        <w:t>运动损伤康复服务</w:t>
      </w:r>
    </w:p>
    <w:p>
      <w:pPr>
        <w:pStyle w:val="11"/>
        <w:numPr>
          <w:ilvl w:val="0"/>
          <w:numId w:val="3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服务内容：急性/慢性运动损伤专业治疗、运动后肌肉放松拉伸、日常训练疲劳系统评估、专项化个性化康复训练方案制定；</w:t>
      </w:r>
    </w:p>
    <w:p>
      <w:pPr>
        <w:pStyle w:val="11"/>
        <w:numPr>
          <w:ilvl w:val="0"/>
          <w:numId w:val="3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服务频次：常规每周≥2次，每次2小时；省运会备战期、寒暑假、赛前备战阶段，可按需增至每周≥3次；</w:t>
      </w:r>
    </w:p>
    <w:p>
      <w:pPr>
        <w:pStyle w:val="11"/>
        <w:numPr>
          <w:ilvl w:val="0"/>
          <w:numId w:val="3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人员要求：每场服务配备≥4名康复治疗师（持有国家卫健委颁发的 ‘康复医学治疗技术’专业技术资格证书），固定1名具备独立看诊评估能力的治疗师（要求取得康复医学治疗技术中级及以上职称，并有3年以上运动队服务经验），服务期间人员保持稳定；</w:t>
      </w:r>
    </w:p>
    <w:p>
      <w:pPr>
        <w:pStyle w:val="11"/>
        <w:numPr>
          <w:ilvl w:val="0"/>
          <w:numId w:val="3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服务要求：按需动态调整服务频次与人员配置，全力保障训练及赛事需求。</w:t>
      </w:r>
    </w:p>
    <w:p>
      <w:pPr>
        <w:pStyle w:val="3"/>
        <w:numPr>
          <w:ilvl w:val="0"/>
          <w:numId w:val="2"/>
        </w:numPr>
        <w:tabs>
          <w:tab w:val="left" w:pos="1204"/>
        </w:tabs>
        <w:topLinePunct w:val="0"/>
        <w:ind w:left="0" w:leftChars="0" w:firstLine="482" w:firstLineChars="200"/>
      </w:pPr>
      <w:r>
        <w:t>赛事保障服务</w:t>
      </w:r>
    </w:p>
    <w:p>
      <w:pPr>
        <w:pStyle w:val="11"/>
        <w:numPr>
          <w:ilvl w:val="0"/>
          <w:numId w:val="4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服务内容：赛前损伤预防与功能贴扎、赛中急性损伤应急处置、赛后肌肉放松与疲劳恢复；</w:t>
      </w:r>
    </w:p>
    <w:p>
      <w:pPr>
        <w:pStyle w:val="11"/>
        <w:numPr>
          <w:ilvl w:val="0"/>
          <w:numId w:val="4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服务频次：根据全年赛事日程安排，全程随队保障，全年赛事保障不少于30场；</w:t>
      </w:r>
    </w:p>
    <w:p>
      <w:pPr>
        <w:pStyle w:val="11"/>
        <w:numPr>
          <w:ilvl w:val="0"/>
          <w:numId w:val="4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人员要求：每场赛事配备专职康复治疗师1名，具备赛事保障与应急处置经验；</w:t>
      </w:r>
    </w:p>
    <w:p>
      <w:pPr>
        <w:pStyle w:val="11"/>
        <w:numPr>
          <w:ilvl w:val="0"/>
          <w:numId w:val="4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物资要求：自行携带肌内效贴、白贴、冷喷等全部赛事保障耗材；</w:t>
      </w:r>
    </w:p>
    <w:p>
      <w:pPr>
        <w:pStyle w:val="11"/>
        <w:numPr>
          <w:ilvl w:val="0"/>
          <w:numId w:val="4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服务要求：全程随队服从统一调度，保障及时规范；跟队服务人员差旅费、伙食费由学校承担。</w:t>
      </w:r>
    </w:p>
    <w:p>
      <w:pPr>
        <w:pStyle w:val="3"/>
        <w:numPr>
          <w:ilvl w:val="0"/>
          <w:numId w:val="2"/>
        </w:numPr>
        <w:tabs>
          <w:tab w:val="left" w:pos="1204"/>
        </w:tabs>
        <w:topLinePunct w:val="0"/>
        <w:ind w:left="0" w:leftChars="0" w:firstLine="482" w:firstLineChars="200"/>
      </w:pPr>
      <w:r>
        <w:t>专家会诊指导服务</w:t>
      </w:r>
    </w:p>
    <w:p>
      <w:pPr>
        <w:pStyle w:val="11"/>
        <w:numPr>
          <w:ilvl w:val="0"/>
          <w:numId w:val="5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服务内容：运动员运动损伤会诊、MRI/CT/X光片影像学资料解读、损伤诊断与病情评估、针对性康复方案制定、与教练员对接方案落地；</w:t>
      </w:r>
    </w:p>
    <w:p>
      <w:pPr>
        <w:pStyle w:val="11"/>
        <w:numPr>
          <w:ilvl w:val="0"/>
          <w:numId w:val="5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服务频次：全年固定会诊不少于4次，每次不少于3小时；可根据运动员损伤情况，经学校确认后临时增加会诊；</w:t>
      </w:r>
    </w:p>
    <w:p>
      <w:pPr>
        <w:pStyle w:val="11"/>
        <w:numPr>
          <w:ilvl w:val="0"/>
          <w:numId w:val="5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人员要求：每次会诊到场专家不少于1名，满足以下任一资质：</w:t>
      </w:r>
    </w:p>
    <w:p>
      <w:pPr>
        <w:pStyle w:val="11"/>
        <w:numPr>
          <w:ilvl w:val="0"/>
          <w:numId w:val="6"/>
        </w:numPr>
        <w:tabs>
          <w:tab w:val="left" w:pos="84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运动康复、体能训练相关专业副高级及以上职称，5年以上运动员保障从业经验；</w:t>
      </w:r>
    </w:p>
    <w:p>
      <w:pPr>
        <w:pStyle w:val="11"/>
        <w:numPr>
          <w:ilvl w:val="0"/>
          <w:numId w:val="6"/>
        </w:numPr>
        <w:tabs>
          <w:tab w:val="left" w:pos="84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任职于安徽省内三甲医院运动医学科，职称副主任医师及以上；</w:t>
      </w:r>
    </w:p>
    <w:p>
      <w:pPr>
        <w:pStyle w:val="11"/>
        <w:numPr>
          <w:ilvl w:val="0"/>
          <w:numId w:val="5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服务要求：按时到场开展会诊，出具书面会诊报告，及时向学校、教练员、康复师反馈会诊意见。</w:t>
      </w:r>
    </w:p>
    <w:p>
      <w:pPr>
        <w:pStyle w:val="3"/>
        <w:numPr>
          <w:ilvl w:val="0"/>
          <w:numId w:val="2"/>
        </w:numPr>
        <w:tabs>
          <w:tab w:val="left" w:pos="1204"/>
        </w:tabs>
        <w:topLinePunct w:val="0"/>
        <w:ind w:left="0" w:leftChars="0" w:firstLine="482" w:firstLineChars="200"/>
      </w:pPr>
      <w:r>
        <w:t>科研医务与身体机能监控服务</w:t>
      </w:r>
    </w:p>
    <w:p>
      <w:pPr>
        <w:pStyle w:val="4"/>
        <w:numPr>
          <w:ilvl w:val="0"/>
          <w:numId w:val="7"/>
        </w:numPr>
        <w:tabs>
          <w:tab w:val="left" w:pos="783"/>
          <w:tab w:val="clear" w:pos="210"/>
        </w:tabs>
        <w:ind w:left="0" w:leftChars="0" w:firstLine="482" w:firstLineChars="200"/>
      </w:pPr>
      <w:r>
        <w:t>服务内容：</w:t>
      </w:r>
    </w:p>
    <w:p>
      <w:pPr>
        <w:pStyle w:val="11"/>
        <w:numPr>
          <w:ilvl w:val="0"/>
          <w:numId w:val="8"/>
        </w:numPr>
        <w:tabs>
          <w:tab w:val="left" w:pos="84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运动员生理生化指标（血红蛋白、白细胞、红细胞压积、肌酸激酶、尿素氮、睾酮、皮质醇等）监测，全年完成监测不少于600人次；</w:t>
      </w:r>
    </w:p>
    <w:p>
      <w:pPr>
        <w:pStyle w:val="11"/>
        <w:numPr>
          <w:ilvl w:val="0"/>
          <w:numId w:val="8"/>
        </w:numPr>
        <w:tabs>
          <w:tab w:val="left" w:pos="84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监测数据专业分析、机能水平与疲劳程度评估、训练短板诊断；</w:t>
      </w:r>
    </w:p>
    <w:p>
      <w:pPr>
        <w:pStyle w:val="11"/>
        <w:numPr>
          <w:ilvl w:val="0"/>
          <w:numId w:val="8"/>
        </w:numPr>
        <w:tabs>
          <w:tab w:val="left" w:pos="84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综合训练监控、训练负荷指导、训练计划调整建议；</w:t>
      </w:r>
    </w:p>
    <w:p>
      <w:pPr>
        <w:pStyle w:val="11"/>
        <w:numPr>
          <w:ilvl w:val="0"/>
          <w:numId w:val="8"/>
        </w:numPr>
        <w:tabs>
          <w:tab w:val="left" w:pos="84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个性化身体恢复、运动损伤预防方案制定；</w:t>
      </w:r>
    </w:p>
    <w:p>
      <w:pPr>
        <w:pStyle w:val="4"/>
        <w:numPr>
          <w:ilvl w:val="0"/>
          <w:numId w:val="7"/>
        </w:numPr>
        <w:tabs>
          <w:tab w:val="left" w:pos="783"/>
          <w:tab w:val="clear" w:pos="210"/>
        </w:tabs>
        <w:ind w:left="0" w:leftChars="0" w:firstLine="482" w:firstLineChars="200"/>
      </w:pPr>
      <w:r>
        <w:t>服务频次：根据训练、备战、恢复需求灵活安排，服从学校统一调度；</w:t>
      </w:r>
    </w:p>
    <w:p>
      <w:pPr>
        <w:pStyle w:val="4"/>
        <w:numPr>
          <w:ilvl w:val="0"/>
          <w:numId w:val="7"/>
        </w:numPr>
        <w:tabs>
          <w:tab w:val="left" w:pos="783"/>
          <w:tab w:val="clear" w:pos="210"/>
        </w:tabs>
        <w:ind w:left="0" w:leftChars="0" w:firstLine="482" w:firstLineChars="200"/>
      </w:pPr>
      <w:r>
        <w:t>人员要求：</w:t>
      </w:r>
    </w:p>
    <w:p>
      <w:pPr>
        <w:pStyle w:val="11"/>
        <w:numPr>
          <w:ilvl w:val="0"/>
          <w:numId w:val="9"/>
        </w:numPr>
        <w:tabs>
          <w:tab w:val="left" w:pos="84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科研医务专家1名：体育科研、运动医学、运动康复、体能监测相关专业副高级及以上职称，具备对应从业经验；</w:t>
      </w:r>
    </w:p>
    <w:p>
      <w:pPr>
        <w:pStyle w:val="11"/>
        <w:numPr>
          <w:ilvl w:val="0"/>
          <w:numId w:val="9"/>
        </w:numPr>
        <w:tabs>
          <w:tab w:val="left" w:pos="84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专职医技人员：持检验技师/士资格证，负责检测操作；涉及抽血等侵入性操作的，须由持护士执业证的人员完成；所有检测、侵入性操作必须符合《医疗机构临床实验室管理办法》相关规范，在合规医疗场所内开展，严禁违规操作；</w:t>
      </w:r>
    </w:p>
    <w:p>
      <w:pPr>
        <w:pStyle w:val="4"/>
        <w:numPr>
          <w:ilvl w:val="0"/>
          <w:numId w:val="7"/>
        </w:numPr>
        <w:tabs>
          <w:tab w:val="left" w:pos="783"/>
          <w:tab w:val="clear" w:pos="210"/>
        </w:tabs>
        <w:ind w:left="0" w:leftChars="0" w:firstLine="482" w:firstLineChars="200"/>
      </w:pPr>
      <w:r>
        <w:t>服务要求：</w:t>
      </w:r>
    </w:p>
    <w:p>
      <w:pPr>
        <w:pStyle w:val="11"/>
        <w:numPr>
          <w:ilvl w:val="0"/>
          <w:numId w:val="10"/>
        </w:numPr>
        <w:tabs>
          <w:tab w:val="left" w:pos="84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专家统筹全程监测与训练指导工作；</w:t>
      </w:r>
    </w:p>
    <w:p>
      <w:pPr>
        <w:pStyle w:val="11"/>
        <w:numPr>
          <w:ilvl w:val="0"/>
          <w:numId w:val="10"/>
        </w:numPr>
        <w:tabs>
          <w:tab w:val="left" w:pos="84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监测完成后2个工作日内，出具含数据解读、训练建议、恢复方案的专业报告；</w:t>
      </w:r>
    </w:p>
    <w:p>
      <w:pPr>
        <w:pStyle w:val="11"/>
        <w:numPr>
          <w:ilvl w:val="0"/>
          <w:numId w:val="10"/>
        </w:numPr>
        <w:tabs>
          <w:tab w:val="left" w:pos="84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常态化对接教练员，形成「监测—分析—指导—优化」的科研保障闭环。</w:t>
      </w:r>
    </w:p>
    <w:p>
      <w:pPr>
        <w:pStyle w:val="3"/>
        <w:numPr>
          <w:ilvl w:val="0"/>
          <w:numId w:val="2"/>
        </w:numPr>
        <w:tabs>
          <w:tab w:val="left" w:pos="1204"/>
        </w:tabs>
        <w:topLinePunct w:val="0"/>
        <w:ind w:left="0" w:leftChars="0" w:firstLine="482" w:firstLineChars="200"/>
      </w:pPr>
      <w:r>
        <w:t>最低服务量要求</w:t>
      </w:r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2127"/>
        <w:gridCol w:w="3018"/>
        <w:gridCol w:w="1465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序号</w:t>
            </w:r>
          </w:p>
        </w:tc>
        <w:tc>
          <w:tcPr>
            <w:tcW w:w="1262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项目</w:t>
            </w:r>
          </w:p>
        </w:tc>
        <w:tc>
          <w:tcPr>
            <w:tcW w:w="1790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时间要求</w:t>
            </w:r>
          </w:p>
        </w:tc>
        <w:tc>
          <w:tcPr>
            <w:tcW w:w="869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人员最低配置</w:t>
            </w:r>
          </w:p>
        </w:tc>
        <w:tc>
          <w:tcPr>
            <w:tcW w:w="737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最低服务量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262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运动损伤康复服务</w:t>
            </w:r>
          </w:p>
        </w:tc>
        <w:tc>
          <w:tcPr>
            <w:tcW w:w="1790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每周不少于2次，每次2小时</w:t>
            </w:r>
          </w:p>
        </w:tc>
        <w:tc>
          <w:tcPr>
            <w:tcW w:w="869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康复师4人</w:t>
            </w:r>
          </w:p>
        </w:tc>
        <w:tc>
          <w:tcPr>
            <w:tcW w:w="737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≥120次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262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赛事保障服务</w:t>
            </w:r>
          </w:p>
        </w:tc>
        <w:tc>
          <w:tcPr>
            <w:tcW w:w="1790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根据全年赛事日程安排</w:t>
            </w:r>
          </w:p>
        </w:tc>
        <w:tc>
          <w:tcPr>
            <w:tcW w:w="869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康复师1人</w:t>
            </w:r>
          </w:p>
        </w:tc>
        <w:tc>
          <w:tcPr>
            <w:tcW w:w="737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≥30场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262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专家会诊指导服务</w:t>
            </w:r>
          </w:p>
        </w:tc>
        <w:tc>
          <w:tcPr>
            <w:tcW w:w="1790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共4次，每次不少于3h</w:t>
            </w:r>
          </w:p>
        </w:tc>
        <w:tc>
          <w:tcPr>
            <w:tcW w:w="869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专家1人</w:t>
            </w:r>
          </w:p>
        </w:tc>
        <w:tc>
          <w:tcPr>
            <w:tcW w:w="737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≥4次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0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262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科研医务与机能监控</w:t>
            </w:r>
          </w:p>
        </w:tc>
        <w:tc>
          <w:tcPr>
            <w:tcW w:w="1790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全年服务队伍生理机能监控</w:t>
            </w:r>
          </w:p>
        </w:tc>
        <w:tc>
          <w:tcPr>
            <w:tcW w:w="869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专家1人</w:t>
            </w:r>
          </w:p>
        </w:tc>
        <w:tc>
          <w:tcPr>
            <w:tcW w:w="737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="0" w:afterAutospacing="0"/>
              <w:ind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≥600人次</w:t>
            </w:r>
          </w:p>
        </w:tc>
      </w:tr>
    </w:tbl>
    <w:p>
      <w:pPr>
        <w:pStyle w:val="3"/>
        <w:numPr>
          <w:ilvl w:val="0"/>
          <w:numId w:val="2"/>
        </w:numPr>
        <w:tabs>
          <w:tab w:val="left" w:pos="1204"/>
        </w:tabs>
        <w:topLinePunct w:val="0"/>
        <w:ind w:left="0" w:leftChars="0" w:firstLine="482" w:firstLineChars="200"/>
      </w:pPr>
      <w:r>
        <w:t>通用工作要求</w:t>
      </w:r>
    </w:p>
    <w:p>
      <w:pPr>
        <w:pStyle w:val="11"/>
        <w:numPr>
          <w:ilvl w:val="0"/>
          <w:numId w:val="11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设立项目负责人1名，全程负责学校、运动队与服务团队的协调对接；</w:t>
      </w:r>
    </w:p>
    <w:p>
      <w:pPr>
        <w:pStyle w:val="11"/>
        <w:numPr>
          <w:ilvl w:val="0"/>
          <w:numId w:val="11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服务人员资质真实有效，未经学校书面同意，不得擅自更换人员、缩减服务内容；</w:t>
      </w:r>
    </w:p>
    <w:p>
      <w:pPr>
        <w:pStyle w:val="11"/>
        <w:numPr>
          <w:ilvl w:val="0"/>
          <w:numId w:val="11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建立规范服务台账，包含《运动员康复服务记录表》《赛事保障日志》《专家会诊报告单》《机能检测数据汇总表》，每季度结束后5个工作日内提交学校；</w:t>
      </w:r>
    </w:p>
    <w:p>
      <w:pPr>
        <w:pStyle w:val="11"/>
        <w:numPr>
          <w:ilvl w:val="0"/>
          <w:numId w:val="11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严格保密运动员个人信息、身体数据、服务资料，合同期满后保密义务持续有效；</w:t>
      </w:r>
    </w:p>
    <w:p>
      <w:pPr>
        <w:pStyle w:val="11"/>
        <w:numPr>
          <w:ilvl w:val="0"/>
          <w:numId w:val="11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宋体" w:hAnsi="宋体" w:eastAsia="宋体" w:cs="宋体"/>
          <w:sz w:val="24"/>
          <w:szCs w:val="24"/>
        </w:rPr>
        <w:t>严格遵守反兴奋剂、未成年人保护相关规定，恪守从业规范。</w:t>
      </w:r>
    </w:p>
    <w:p>
      <w:pPr>
        <w:pStyle w:val="11"/>
        <w:numPr>
          <w:ilvl w:val="0"/>
          <w:numId w:val="11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严格遵守学校各项管理规定，服从学校统一调度。</w:t>
      </w:r>
    </w:p>
    <w:p>
      <w:pPr>
        <w:pStyle w:val="2"/>
        <w:numPr>
          <w:ilvl w:val="0"/>
          <w:numId w:val="1"/>
        </w:numPr>
        <w:tabs>
          <w:tab w:val="left" w:pos="963"/>
        </w:tabs>
        <w:topLinePunct w:val="0"/>
        <w:ind w:left="0" w:leftChars="0" w:firstLine="482" w:firstLineChars="200"/>
      </w:pPr>
      <w:r>
        <w:t>报价要求</w:t>
      </w:r>
    </w:p>
    <w:p>
      <w:pPr>
        <w:pStyle w:val="11"/>
        <w:numPr>
          <w:ilvl w:val="0"/>
          <w:numId w:val="12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本次报价为一次性包干总价，包含人员薪酬、耗材、设备、税费、管理等完成本项目的全部费用；</w:t>
      </w:r>
    </w:p>
    <w:p>
      <w:pPr>
        <w:pStyle w:val="11"/>
        <w:numPr>
          <w:ilvl w:val="0"/>
          <w:numId w:val="12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报价不得高于25.8万元项目预算，履约过程中学校不追加任何费用；</w:t>
      </w:r>
    </w:p>
    <w:p>
      <w:pPr>
        <w:pStyle w:val="11"/>
        <w:numPr>
          <w:ilvl w:val="0"/>
          <w:numId w:val="12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报价唯一、固定有效，不得设置选择性报价、浮动报价；</w:t>
      </w:r>
    </w:p>
    <w:p>
      <w:pPr>
        <w:pStyle w:val="11"/>
        <w:numPr>
          <w:ilvl w:val="0"/>
          <w:numId w:val="12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报价需提供详细的报价明细表，作为参选文件组成部分；</w:t>
      </w:r>
    </w:p>
    <w:p>
      <w:pPr>
        <w:pStyle w:val="11"/>
        <w:numPr>
          <w:ilvl w:val="0"/>
          <w:numId w:val="12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报价明细表须按运动损伤康复、赛事保障、专家会诊、科研医务与机能监控4个服务模块分项报价，分项报价合计须等于总报价。</w:t>
      </w:r>
    </w:p>
    <w:p>
      <w:pPr>
        <w:pStyle w:val="2"/>
        <w:numPr>
          <w:ilvl w:val="0"/>
          <w:numId w:val="1"/>
        </w:numPr>
        <w:tabs>
          <w:tab w:val="left" w:pos="963"/>
        </w:tabs>
        <w:topLinePunct w:val="0"/>
        <w:ind w:left="0" w:leftChars="0" w:firstLine="482" w:firstLineChars="200"/>
      </w:pPr>
      <w:r>
        <w:t>参选文件组成</w:t>
      </w:r>
    </w:p>
    <w:p>
      <w:pPr>
        <w:pStyle w:val="11"/>
        <w:numPr>
          <w:ilvl w:val="0"/>
          <w:numId w:val="13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hint="eastAsia" w:cs="Times New Roman"/>
          <w:b w:val="0"/>
          <w:sz w:val="24"/>
          <w:lang w:val="en-US" w:eastAsia="zh-CN"/>
        </w:rPr>
        <w:t>报价函、</w:t>
      </w:r>
      <w:r>
        <w:rPr>
          <w:rFonts w:ascii="Times New Roman" w:hAnsi="Times New Roman" w:eastAsia="宋体" w:cs="Times New Roman"/>
          <w:b w:val="0"/>
          <w:sz w:val="24"/>
        </w:rPr>
        <w:t>报价一览表、报价明细表；</w:t>
      </w:r>
    </w:p>
    <w:p>
      <w:pPr>
        <w:pStyle w:val="11"/>
        <w:numPr>
          <w:ilvl w:val="0"/>
          <w:numId w:val="13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营业执照/社会团体法人证书复印件；</w:t>
      </w:r>
    </w:p>
    <w:p>
      <w:pPr>
        <w:pStyle w:val="11"/>
        <w:numPr>
          <w:ilvl w:val="0"/>
          <w:numId w:val="13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法定代表人身份证明、授权委托书（含法人及被授权人身份证复印件）；</w:t>
      </w:r>
    </w:p>
    <w:p>
      <w:pPr>
        <w:pStyle w:val="11"/>
        <w:numPr>
          <w:ilvl w:val="0"/>
          <w:numId w:val="13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服务团队人员名单、对应资质证书、从业经验证明；</w:t>
      </w:r>
    </w:p>
    <w:p>
      <w:pPr>
        <w:pStyle w:val="11"/>
        <w:numPr>
          <w:ilvl w:val="0"/>
          <w:numId w:val="13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服务响应承诺函（完全响应本文件全部要求）；</w:t>
      </w:r>
    </w:p>
    <w:p>
      <w:pPr>
        <w:pStyle w:val="11"/>
        <w:numPr>
          <w:ilvl w:val="0"/>
          <w:numId w:val="13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相关运动员保障服务业绩证明（如有）；</w:t>
      </w:r>
    </w:p>
    <w:p>
      <w:pPr>
        <w:pStyle w:val="11"/>
        <w:numPr>
          <w:ilvl w:val="0"/>
          <w:numId w:val="13"/>
        </w:numPr>
        <w:tabs>
          <w:tab w:val="left" w:pos="780"/>
          <w:tab w:val="clear" w:pos="210"/>
        </w:tabs>
        <w:ind w:left="0" w:leftChars="0" w:firstLine="480" w:firstLineChars="200"/>
        <w:rPr>
          <w:rFonts w:hint="default" w:ascii="Times New Roman" w:hAnsi="Times New Roman" w:eastAsia="宋体" w:cs="Times New Roman"/>
          <w:b w:val="0"/>
          <w:color w:val="auto"/>
          <w:sz w:val="24"/>
          <w:lang w:val="en-US" w:eastAsia="zh-CN"/>
        </w:rPr>
      </w:pPr>
      <w:r>
        <w:rPr>
          <w:rFonts w:ascii="Times New Roman" w:hAnsi="Times New Roman" w:eastAsia="宋体" w:cs="Times New Roman"/>
          <w:b w:val="0"/>
          <w:color w:val="auto"/>
          <w:sz w:val="24"/>
        </w:rPr>
        <w:t>本文件要求的其他承诺函。</w:t>
      </w:r>
    </w:p>
    <w:p>
      <w:pPr>
        <w:pStyle w:val="2"/>
        <w:numPr>
          <w:ilvl w:val="0"/>
          <w:numId w:val="1"/>
        </w:numPr>
        <w:tabs>
          <w:tab w:val="left" w:pos="963"/>
        </w:tabs>
        <w:topLinePunct w:val="0"/>
        <w:ind w:left="0" w:leftChars="0" w:firstLine="482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履约考核与主要合同条款</w:t>
      </w:r>
    </w:p>
    <w:p>
      <w:pPr>
        <w:pStyle w:val="3"/>
        <w:numPr>
          <w:ilvl w:val="0"/>
          <w:numId w:val="14"/>
        </w:numPr>
        <w:tabs>
          <w:tab w:val="left" w:pos="1204"/>
        </w:tabs>
        <w:topLinePunct w:val="0"/>
        <w:ind w:left="0" w:leftChars="0" w:firstLine="482" w:firstLineChars="200"/>
      </w:pPr>
      <w:r>
        <w:rPr>
          <w:rFonts w:hint="eastAsia"/>
          <w:lang w:val="en-US" w:eastAsia="zh-CN"/>
        </w:rPr>
        <w:t>年度</w:t>
      </w:r>
      <w:r>
        <w:t>履约考核</w:t>
      </w:r>
    </w:p>
    <w:p>
      <w:pPr>
        <w:pStyle w:val="11"/>
        <w:numPr>
          <w:ilvl w:val="0"/>
          <w:numId w:val="15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考核小组：由采购人采购管理部门、训练教学部门、科研医务部门、纪检监督部门代表，以及不少于2名教练员代表共同组成，考核过程公开、公平、公正。</w:t>
      </w:r>
    </w:p>
    <w:p>
      <w:pPr>
        <w:pStyle w:val="11"/>
        <w:numPr>
          <w:ilvl w:val="0"/>
          <w:numId w:val="15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考核时间：合同期满后10个工作日内完成年度履约考核，考核结束后5个工作日内出具书面考核结果。</w:t>
      </w:r>
    </w:p>
    <w:p>
      <w:pPr>
        <w:pStyle w:val="11"/>
        <w:numPr>
          <w:ilvl w:val="0"/>
          <w:numId w:val="15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考核标准（总分100分）：</w:t>
      </w:r>
    </w:p>
    <w:tbl>
      <w:tblPr>
        <w:tblStyle w:val="1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425"/>
        <w:gridCol w:w="7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考核项目</w:t>
            </w:r>
          </w:p>
        </w:tc>
        <w:tc>
          <w:tcPr>
            <w:tcW w:w="252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分值</w:t>
            </w:r>
          </w:p>
        </w:tc>
        <w:tc>
          <w:tcPr>
            <w:tcW w:w="4218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shd w:val="clear" w:color="auto" w:fill="F0F0F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考核规则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服务完成率</w:t>
            </w:r>
          </w:p>
        </w:tc>
        <w:tc>
          <w:tcPr>
            <w:tcW w:w="252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40</w:t>
            </w:r>
          </w:p>
        </w:tc>
        <w:tc>
          <w:tcPr>
            <w:tcW w:w="4218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全部完成约定服务量与服务内容，得40分；每少完成1项/1次，扣5分；未完成服务量超过20%的，本项不得分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服务质量</w:t>
            </w:r>
          </w:p>
        </w:tc>
        <w:tc>
          <w:tcPr>
            <w:tcW w:w="252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30</w:t>
            </w:r>
          </w:p>
        </w:tc>
        <w:tc>
          <w:tcPr>
            <w:tcW w:w="4218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服务规范、效果良好，无有效投诉，得25</w:t>
            </w:r>
            <w:r>
              <w:rPr>
                <w:rFonts w:hint="eastAsia" w:ascii="Times New Roman" w:hAnsi="Times New Roman" w:cs="Times New Roman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</w:rPr>
              <w:t>30分；服务基本到位，无重大失误，得15</w:t>
            </w:r>
            <w:r>
              <w:rPr>
                <w:rFonts w:hint="eastAsia" w:ascii="Times New Roman" w:hAnsi="Times New Roman" w:cs="Times New Roman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</w:rPr>
              <w:t>24分；服务不到位、存在有效投诉的，得0</w:t>
            </w:r>
            <w:r>
              <w:rPr>
                <w:rFonts w:hint="eastAsia" w:ascii="Times New Roman" w:hAnsi="Times New Roman" w:cs="Times New Roman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</w:rPr>
              <w:t>14分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人员保障与响应</w:t>
            </w:r>
          </w:p>
        </w:tc>
        <w:tc>
          <w:tcPr>
            <w:tcW w:w="252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20</w:t>
            </w:r>
          </w:p>
        </w:tc>
        <w:tc>
          <w:tcPr>
            <w:tcW w:w="4218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服务团队人员齐全、响应及时，无擅自更换人员情况，得18</w:t>
            </w:r>
            <w:r>
              <w:rPr>
                <w:rFonts w:hint="eastAsia" w:ascii="Times New Roman" w:hAnsi="Times New Roman" w:cs="Times New Roman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</w:rPr>
              <w:t>20分；偶有人员不到位或响应延迟，得10</w:t>
            </w:r>
            <w:r>
              <w:rPr>
                <w:rFonts w:hint="eastAsia" w:ascii="Times New Roman" w:hAnsi="Times New Roman" w:cs="Times New Roman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</w:rPr>
              <w:t>17分；经常缺人、响应迟缓或擅自更换人员的，得0</w:t>
            </w:r>
            <w:r>
              <w:rPr>
                <w:rFonts w:hint="eastAsia" w:ascii="Times New Roman" w:hAnsi="Times New Roman" w:cs="Times New Roman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</w:rPr>
              <w:t>9分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9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台账与规范管理</w:t>
            </w:r>
          </w:p>
        </w:tc>
        <w:tc>
          <w:tcPr>
            <w:tcW w:w="252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Autospacing="0"/>
              <w:ind w:right="0"/>
              <w:jc w:val="righ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4218" w:type="pct"/>
            <w:tcBorders>
              <w:top w:val="single" w:color="CCCCCC" w:sz="2" w:space="0"/>
              <w:left w:val="single" w:color="CCCCCC" w:sz="2" w:space="0"/>
              <w:bottom w:val="single" w:color="CCCCCC" w:sz="2" w:space="0"/>
              <w:right w:val="single" w:color="CCCCCC" w:sz="2" w:space="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beforeAutospacing="0" w:after="0" w:afterAutospacing="0"/>
              <w:ind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台账齐全规范、按时提交，无泄密情况，得9</w:t>
            </w:r>
            <w:r>
              <w:rPr>
                <w:rFonts w:hint="eastAsia" w:ascii="Times New Roman" w:hAnsi="Times New Roman" w:cs="Times New Roman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</w:rPr>
              <w:t>10分；台账基本齐全，偶有逾期提交，得5</w:t>
            </w:r>
            <w:r>
              <w:rPr>
                <w:rFonts w:hint="eastAsia" w:ascii="Times New Roman" w:hAnsi="Times New Roman" w:cs="Times New Roman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</w:rPr>
              <w:t>8分；台账缺失严重、逾期提交或存在泄密情况的，得0</w:t>
            </w:r>
            <w:r>
              <w:rPr>
                <w:rFonts w:hint="eastAsia" w:ascii="Times New Roman" w:hAnsi="Times New Roman" w:cs="Times New Roman"/>
                <w:lang w:eastAsia="zh-CN"/>
              </w:rPr>
              <w:t>-</w:t>
            </w:r>
            <w:r>
              <w:rPr>
                <w:rFonts w:hint="default" w:ascii="Times New Roman" w:hAnsi="Times New Roman" w:cs="Times New Roman"/>
              </w:rPr>
              <w:t>4分</w:t>
            </w:r>
          </w:p>
        </w:tc>
      </w:tr>
    </w:tbl>
    <w:p>
      <w:pPr>
        <w:pStyle w:val="11"/>
        <w:numPr>
          <w:ilvl w:val="0"/>
          <w:numId w:val="0"/>
        </w:numPr>
        <w:tabs>
          <w:tab w:val="left" w:pos="780"/>
        </w:tabs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备注：有效投诉指经采购人核实，确因供应商服务不到位、违规操作引发的运动员、教练员书面投诉。</w:t>
      </w:r>
    </w:p>
    <w:p>
      <w:pPr>
        <w:pStyle w:val="11"/>
        <w:numPr>
          <w:ilvl w:val="0"/>
          <w:numId w:val="15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尾款支付规则：</w:t>
      </w:r>
    </w:p>
    <w:p>
      <w:pPr>
        <w:pStyle w:val="11"/>
        <w:numPr>
          <w:ilvl w:val="0"/>
          <w:numId w:val="16"/>
        </w:numPr>
        <w:tabs>
          <w:tab w:val="left" w:pos="84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考核得分≥85分：采购人全额支付剩余尾款；</w:t>
      </w:r>
    </w:p>
    <w:p>
      <w:pPr>
        <w:pStyle w:val="11"/>
        <w:numPr>
          <w:ilvl w:val="0"/>
          <w:numId w:val="16"/>
        </w:numPr>
        <w:tabs>
          <w:tab w:val="left" w:pos="84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80分≤考核得分＜85分：采购人扣减剩余服务费的5%后支付尾款；</w:t>
      </w:r>
    </w:p>
    <w:p>
      <w:pPr>
        <w:pStyle w:val="11"/>
        <w:numPr>
          <w:ilvl w:val="0"/>
          <w:numId w:val="16"/>
        </w:numPr>
        <w:tabs>
          <w:tab w:val="left" w:pos="84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考核得分＜80分：采购人暂缓支付尾款，供应商须限期整改；整改后仍不合格的，采购人有权拒付尾款并追究违约责任。</w:t>
      </w:r>
    </w:p>
    <w:p>
      <w:pPr>
        <w:pStyle w:val="3"/>
        <w:numPr>
          <w:ilvl w:val="0"/>
          <w:numId w:val="14"/>
        </w:numPr>
        <w:tabs>
          <w:tab w:val="left" w:pos="1204"/>
        </w:tabs>
        <w:topLinePunct w:val="0"/>
        <w:ind w:left="0" w:leftChars="0" w:firstLine="482" w:firstLineChars="200"/>
      </w:pPr>
      <w:r>
        <w:t>服务续签</w:t>
      </w:r>
    </w:p>
    <w:p>
      <w:pPr>
        <w:pStyle w:val="11"/>
        <w:numPr>
          <w:ilvl w:val="0"/>
          <w:numId w:val="0"/>
        </w:numPr>
        <w:tabs>
          <w:tab w:val="left" w:pos="780"/>
        </w:tabs>
        <w:ind w:firstLine="480" w:firstLineChars="200"/>
        <w:rPr>
          <w:rFonts w:hint="eastAsia" w:ascii="Times New Roman" w:hAnsi="Times New Roman" w:eastAsia="宋体" w:cs="Times New Roman"/>
          <w:b w:val="0"/>
          <w:color w:val="0000FF"/>
          <w:sz w:val="24"/>
          <w:lang w:eastAsia="zh-CN"/>
        </w:rPr>
      </w:pPr>
      <w:r>
        <w:rPr>
          <w:rFonts w:ascii="Times New Roman" w:hAnsi="Times New Roman" w:eastAsia="宋体" w:cs="Times New Roman"/>
          <w:b w:val="0"/>
          <w:sz w:val="24"/>
        </w:rPr>
        <w:t xml:space="preserve">合同续签须同时满足以下条件：① 年度履约考核得分≥85分；② 服务期间无有效投诉、无重大服务失误；③ 年度预算足额保障；④ </w:t>
      </w:r>
      <w:r>
        <w:rPr>
          <w:rFonts w:hint="default" w:ascii="Times New Roman" w:hAnsi="Times New Roman" w:eastAsia="宋体" w:cs="Times New Roman"/>
          <w:sz w:val="24"/>
        </w:rPr>
        <w:t>双方协商一致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，</w:t>
      </w:r>
      <w:r>
        <w:rPr>
          <w:rFonts w:ascii="Times New Roman" w:hAnsi="Times New Roman" w:eastAsia="宋体" w:cs="Times New Roman"/>
          <w:sz w:val="24"/>
        </w:rPr>
        <w:t>可续签合同，</w:t>
      </w:r>
      <w:r>
        <w:rPr>
          <w:rFonts w:hint="default" w:ascii="Times New Roman" w:hAnsi="Times New Roman" w:eastAsia="宋体" w:cs="Times New Roman"/>
          <w:sz w:val="24"/>
        </w:rPr>
        <w:t>每次续签一年，累计续签不超过两次，合同金额不变。</w:t>
      </w:r>
    </w:p>
    <w:p>
      <w:pPr>
        <w:pStyle w:val="3"/>
        <w:numPr>
          <w:ilvl w:val="0"/>
          <w:numId w:val="14"/>
        </w:numPr>
        <w:tabs>
          <w:tab w:val="left" w:pos="1204"/>
        </w:tabs>
        <w:topLinePunct w:val="0"/>
        <w:ind w:left="0" w:leftChars="0" w:firstLine="482" w:firstLineChars="200"/>
      </w:pPr>
      <w:r>
        <w:t>违约责任</w:t>
      </w:r>
    </w:p>
    <w:p>
      <w:pPr>
        <w:pStyle w:val="11"/>
        <w:numPr>
          <w:ilvl w:val="0"/>
          <w:numId w:val="17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供应商擅自转包、违法分包本项目服务的，采购人有权立即终止合同，拒付剩余合同款，并追究供应商的违约责任。</w:t>
      </w:r>
    </w:p>
    <w:p>
      <w:pPr>
        <w:pStyle w:val="11"/>
        <w:numPr>
          <w:ilvl w:val="0"/>
          <w:numId w:val="17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供应商服务期间出现兴奋剂违规、侵害未成年人权益等违法违规行为的，采购人有权立即终止合同，拒付全部剩余款项，并追究供应商的法律责任。</w:t>
      </w:r>
    </w:p>
    <w:p>
      <w:pPr>
        <w:pStyle w:val="11"/>
        <w:numPr>
          <w:ilvl w:val="0"/>
          <w:numId w:val="17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供应商未按约定完成服务量、擅自更换服务人员或服务质量不达标，给采购人造成损失的，须承担相应赔偿责任。</w:t>
      </w:r>
    </w:p>
    <w:p>
      <w:pPr>
        <w:pStyle w:val="2"/>
        <w:numPr>
          <w:ilvl w:val="0"/>
          <w:numId w:val="1"/>
        </w:numPr>
        <w:tabs>
          <w:tab w:val="left" w:pos="963"/>
        </w:tabs>
        <w:topLinePunct w:val="0"/>
        <w:ind w:left="0" w:leftChars="0" w:firstLine="482" w:firstLineChars="200"/>
      </w:pPr>
      <w:r>
        <w:t>磋商及评审办法</w:t>
      </w:r>
    </w:p>
    <w:p>
      <w:pPr>
        <w:pStyle w:val="3"/>
        <w:numPr>
          <w:ilvl w:val="0"/>
          <w:numId w:val="18"/>
        </w:numPr>
        <w:tabs>
          <w:tab w:val="left" w:pos="1204"/>
        </w:tabs>
        <w:topLinePunct w:val="0"/>
        <w:ind w:left="0" w:leftChars="0" w:firstLine="482" w:firstLineChars="200"/>
      </w:pPr>
      <w:r>
        <w:t>磋商流程</w:t>
      </w:r>
    </w:p>
    <w:p>
      <w:pPr>
        <w:pStyle w:val="11"/>
        <w:numPr>
          <w:ilvl w:val="0"/>
          <w:numId w:val="19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资格审查：采购人及磋商小组对供应商的资格条件进行审查，资格不满足的供应商不得进入后续磋商环节。</w:t>
      </w:r>
    </w:p>
    <w:p>
      <w:pPr>
        <w:pStyle w:val="11"/>
        <w:numPr>
          <w:ilvl w:val="0"/>
          <w:numId w:val="19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符合性审查：磋商小组对供应商响应文件是否满足实质性响应条款进行审查，不满足的按无效响应处理。</w:t>
      </w:r>
    </w:p>
    <w:p>
      <w:pPr>
        <w:pStyle w:val="11"/>
        <w:numPr>
          <w:ilvl w:val="0"/>
          <w:numId w:val="19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综合评分：磋商小组按照本办法规定的评分标准，对供应商的响应文件及最终报价进行综合评分。</w:t>
      </w:r>
    </w:p>
    <w:p>
      <w:pPr>
        <w:pStyle w:val="11"/>
        <w:numPr>
          <w:ilvl w:val="0"/>
          <w:numId w:val="19"/>
        </w:numPr>
        <w:tabs>
          <w:tab w:val="left" w:pos="780"/>
          <w:tab w:val="clear" w:pos="210"/>
        </w:tabs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确定成交供应商：采购人根据磋商小组推荐的成交候选人，确定排名第一的供应商为成交供应商。</w:t>
      </w:r>
    </w:p>
    <w:p>
      <w:pPr>
        <w:pStyle w:val="3"/>
        <w:numPr>
          <w:ilvl w:val="0"/>
          <w:numId w:val="18"/>
        </w:numPr>
        <w:tabs>
          <w:tab w:val="left" w:pos="1204"/>
        </w:tabs>
        <w:topLinePunct w:val="0"/>
        <w:ind w:left="0" w:leftChars="0" w:firstLine="482" w:firstLineChars="200"/>
      </w:pPr>
      <w:r>
        <w:t>磋商小组组成</w:t>
      </w:r>
    </w:p>
    <w:p>
      <w:pPr>
        <w:pStyle w:val="11"/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</w:rPr>
      </w:pPr>
      <w:r>
        <w:rPr>
          <w:rFonts w:ascii="Times New Roman" w:hAnsi="Times New Roman" w:eastAsia="宋体" w:cs="Times New Roman"/>
          <w:b w:val="0"/>
          <w:sz w:val="24"/>
        </w:rPr>
        <w:t>磋商小组由采购人代表及相关专业评审专家共3人及以上单数组成，其中专业评审专家人数不少于磋商小组成员总数的2/3，采购人代表不超过1/3；采购人纪检监督部门人员全程监督评审过程，不参与打分。</w:t>
      </w:r>
    </w:p>
    <w:p>
      <w:pPr>
        <w:pStyle w:val="3"/>
        <w:numPr>
          <w:ilvl w:val="0"/>
          <w:numId w:val="18"/>
        </w:numPr>
        <w:tabs>
          <w:tab w:val="left" w:pos="1204"/>
        </w:tabs>
        <w:topLinePunct w:val="0"/>
        <w:ind w:left="0" w:leftChars="0" w:firstLine="482" w:firstLineChars="200"/>
      </w:pPr>
      <w:r>
        <w:t>评分标准</w:t>
      </w:r>
    </w:p>
    <w:tbl>
      <w:tblPr>
        <w:tblStyle w:val="18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159"/>
        <w:gridCol w:w="4762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评分内容</w:t>
            </w:r>
          </w:p>
        </w:tc>
        <w:tc>
          <w:tcPr>
            <w:tcW w:w="27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分值范围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技术资信分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ascii="Arial" w:hAnsi="Arial" w:eastAsia="Arial" w:cs="Arial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（90分）</w:t>
            </w: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整体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组织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服务方案</w:t>
            </w:r>
          </w:p>
        </w:tc>
        <w:tc>
          <w:tcPr>
            <w:tcW w:w="279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投标人提供工作组织方案和实施方案，包含人员调度、日常流程、应急机制、协调机制等，根据满足采购项目需求程度和合理性、可操作性等进行综合评分：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1.投标人的项目实施方案非常详细、严谨、全面且针对性强，得10分；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2.投标人的项目实施方案详细、严谨、全面的，得6分；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3.投标人的项目实施方案不够详细、严谨、全面的，得3分；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4.没有提供完整方案的不得分。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0-10分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C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</w:rPr>
              <w:t>场地布置及器材保障方案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snapToGrid w:val="0"/>
                <w:color w:val="C00000"/>
                <w:kern w:val="0"/>
                <w:sz w:val="24"/>
                <w:lang w:eastAsia="zh-CN"/>
              </w:rPr>
            </w:pPr>
          </w:p>
        </w:tc>
        <w:tc>
          <w:tcPr>
            <w:tcW w:w="279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根据供应商提供的场地布置及器材保障方案进行评价，方案包含但不限于场地规划、器材配置清单、应急备用等综合评价：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1.投标人的项目实施方案非常详细、严谨、全面且针对性强，得10分；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2.投标人的项目实施方案详细、严谨、全面的，得6分；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3.投标人的项目实施方案不够详细、严谨、全面的，得3分；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4.没有提供完整方案的不得分。</w:t>
            </w:r>
          </w:p>
        </w:tc>
        <w:tc>
          <w:tcPr>
            <w:tcW w:w="8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0-10分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0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安全保障方案</w:t>
            </w:r>
          </w:p>
        </w:tc>
        <w:tc>
          <w:tcPr>
            <w:tcW w:w="279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根据供应商提供的安全保障方案进行评价，方案包含但不限于参与人员健康要求、隐私保护、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</w:rPr>
              <w:t>医疗应急转诊、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突发事件、极端天气等综合评价：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1.投标人的项目实施方案非常详细、严谨、全面且针对性强，得10分；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2.投标人的项目实施方案详细、严谨、全面的，得6分；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3.投标人的项目实施方案不够详细、严谨、全面的，得3分；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4.没有提供完整方案的不得分。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0-10分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康复保障实施方案</w:t>
            </w:r>
          </w:p>
        </w:tc>
        <w:tc>
          <w:tcPr>
            <w:tcW w:w="279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根据供应商提供的医疗保障方案进行评价，方案包含但不限于建立损伤评估流程、优化伤病管理结构，建立运动员运动伤病管理架构、康复数据采集分析评估、个性化方案与教练员沟通等综合评价：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both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1.投标人的项目实施方案非常详细、严谨、全面且针对性强，得10分；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both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2.投标人的项目实施方案详细、严谨、全面的，得6分；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both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3.投标人的项目实施方案不够详细、严谨、全面的，得3分；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both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4.没有提供完整方案的不得分。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0-10分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服务保障及时性</w:t>
            </w:r>
          </w:p>
        </w:tc>
        <w:tc>
          <w:tcPr>
            <w:tcW w:w="279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根据供应商提供保障项目执行的高效性、便利性，服务响应时间等方案进行综合评分：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1.服务便利性高、承诺响应时间在1小时（含）以内的，得5分；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2.具有一定的服务便利性高、承诺响应时间在1小时（不含）-1.5小时（含）的，得3分，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3.服务便利性有待提高、承诺响应时间在1.5小时（不含）-2小时（含）的，得1分；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4.承诺响应时间2小时（不含）以上的或未提供不得分。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0-5分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执行人员配置</w:t>
            </w:r>
          </w:p>
        </w:tc>
        <w:tc>
          <w:tcPr>
            <w:tcW w:w="279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供应商提供的服务团队人员专业能力体现评分。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1.康复师（6 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具有国家卫生健康委员会批准颁发的康复医学治疗技术资格认证，每提供 1 人得 3 分，本项最高18 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康复师为本科及以上学历，每提供 1 人得 1 分，本项最高6 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学历及资格证书资料不全的不得分。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2.科研医务专家（1 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具有体育科研、运动医学、运动康复、体能监测相关专业副高级及以上职称，得6 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资料不全的不得分。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注：响应文件中须提供团队成员名单、资质证书的扫描件或影印件以及供应商已为其缴纳的近3个月内（任意1个月）的社保证明材料扫描件或影印件。（提供养老、医疗、工伤、失业四险之一即可）；未提供或提供不全的不得分。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投标供应商业绩</w:t>
            </w:r>
          </w:p>
        </w:tc>
        <w:tc>
          <w:tcPr>
            <w:tcW w:w="279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自2021年1月1日以来（以合同签订时间为准），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供应商具有党政机关（或事业单位）委托的地市级及以上类似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的专业运动员保障服务业绩，每提供一个得3分，满分15分。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注：（1）响应文件中提供业绩合同扫描件及中标通知书扫描件，若合同中无法体现签订时间、服务内容等关键评审因素的，须同时提供业主（合同甲方）证明材料，否则不得分。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（2）党政机关包括党的机关、人大机关、行政机关、政协机关、审判机关、检察机关，及各级党政机关派出机构、直属事业单位及工会、共青团、妇联等。</w:t>
            </w:r>
          </w:p>
        </w:tc>
        <w:tc>
          <w:tcPr>
            <w:tcW w:w="8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0-15分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7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价格分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center"/>
              <w:rPr>
                <w:rFonts w:ascii="Arial" w:hAnsi="Arial" w:eastAsia="Arial" w:cs="Arial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4295" w:type="pct"/>
            <w:gridSpan w:val="3"/>
            <w:vAlign w:val="center"/>
          </w:tcPr>
          <w:p>
            <w:pPr>
              <w:spacing w:line="360" w:lineRule="auto"/>
              <w:rPr>
                <w:rFonts w:cs="仿宋_GB2312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</w:rPr>
              <w:t>价格分统一采用低价优先法，即满足磋商文件要求且最后报价最低的供应商的价格为磋商基准价，其价格分为满分 10 分。其他供应商的价格分统一按照下列公式计算：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spacing w:line="400" w:lineRule="exact"/>
              <w:jc w:val="left"/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</w:rPr>
              <w:t>磋商报价得分＝（磋商基准价/最后磋商报价）×</w:t>
            </w: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  <w:u w:val="single"/>
              </w:rPr>
              <w:t>10</w:t>
            </w:r>
            <w:r>
              <w:rPr>
                <w:rFonts w:hint="eastAsia" w:cs="仿宋_GB2312" w:asciiTheme="minorEastAsia" w:hAnsiTheme="minorEastAsia" w:eastAsiaTheme="minorEastAsia"/>
                <w:sz w:val="21"/>
                <w:szCs w:val="21"/>
              </w:rPr>
              <w:t>％×100</w:t>
            </w:r>
          </w:p>
        </w:tc>
      </w:tr>
    </w:tbl>
    <w:p>
      <w:pPr>
        <w:pStyle w:val="11"/>
        <w:numPr>
          <w:ilvl w:val="0"/>
          <w:numId w:val="0"/>
        </w:numPr>
        <w:tabs>
          <w:tab w:val="left" w:pos="1200"/>
        </w:tabs>
        <w:topLinePunct w:val="0"/>
        <w:ind w:leftChars="200"/>
        <w:rPr>
          <w:rFonts w:hint="eastAsia" w:ascii="Times New Roman" w:hAnsi="Times New Roman" w:eastAsia="宋体" w:cs="Times New Roman"/>
          <w:sz w:val="24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D8362F"/>
    <w:multiLevelType w:val="singleLevel"/>
    <w:tmpl w:val="94D8362F"/>
    <w:lvl w:ilvl="0" w:tentative="0">
      <w:start w:val="1"/>
      <w:numFmt w:val="decimalEnclosedCircleChinese"/>
      <w:lvlText w:val="%1"/>
      <w:lvlJc w:val="left"/>
      <w:pPr>
        <w:tabs>
          <w:tab w:val="left" w:pos="210"/>
        </w:tabs>
        <w:ind w:left="0" w:firstLine="480"/>
      </w:pPr>
      <w:rPr>
        <w:rFonts w:hint="eastAsia"/>
      </w:rPr>
    </w:lvl>
  </w:abstractNum>
  <w:abstractNum w:abstractNumId="1">
    <w:nsid w:val="A12DD233"/>
    <w:multiLevelType w:val="singleLevel"/>
    <w:tmpl w:val="A12DD233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2">
    <w:nsid w:val="ABB56248"/>
    <w:multiLevelType w:val="singleLevel"/>
    <w:tmpl w:val="ABB56248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0"/>
      </w:pPr>
      <w:rPr>
        <w:rFonts w:hint="default"/>
      </w:rPr>
    </w:lvl>
  </w:abstractNum>
  <w:abstractNum w:abstractNumId="3">
    <w:nsid w:val="B4C97F84"/>
    <w:multiLevelType w:val="singleLevel"/>
    <w:tmpl w:val="B4C97F84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4">
    <w:nsid w:val="BCAD4925"/>
    <w:multiLevelType w:val="singleLevel"/>
    <w:tmpl w:val="BCAD4925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5">
    <w:nsid w:val="C2D651A0"/>
    <w:multiLevelType w:val="singleLevel"/>
    <w:tmpl w:val="C2D651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CE5F57C1"/>
    <w:multiLevelType w:val="singleLevel"/>
    <w:tmpl w:val="CE5F57C1"/>
    <w:lvl w:ilvl="0" w:tentative="0">
      <w:start w:val="1"/>
      <w:numFmt w:val="decimalEnclosedCircleChinese"/>
      <w:lvlText w:val="%1"/>
      <w:lvlJc w:val="left"/>
      <w:pPr>
        <w:tabs>
          <w:tab w:val="left" w:pos="210"/>
        </w:tabs>
        <w:ind w:left="0" w:firstLine="480"/>
      </w:pPr>
      <w:rPr>
        <w:rFonts w:hint="eastAsia"/>
      </w:rPr>
    </w:lvl>
  </w:abstractNum>
  <w:abstractNum w:abstractNumId="7">
    <w:nsid w:val="E5AEF5E8"/>
    <w:multiLevelType w:val="singleLevel"/>
    <w:tmpl w:val="E5AEF5E8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8">
    <w:nsid w:val="EEAAF272"/>
    <w:multiLevelType w:val="singleLevel"/>
    <w:tmpl w:val="EEAAF272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9">
    <w:nsid w:val="F2067A32"/>
    <w:multiLevelType w:val="singleLevel"/>
    <w:tmpl w:val="F2067A32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10">
    <w:nsid w:val="20E15D13"/>
    <w:multiLevelType w:val="singleLevel"/>
    <w:tmpl w:val="20E15D13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11">
    <w:nsid w:val="29C646F0"/>
    <w:multiLevelType w:val="singleLevel"/>
    <w:tmpl w:val="29C646F0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2">
    <w:nsid w:val="3B6E6A15"/>
    <w:multiLevelType w:val="singleLevel"/>
    <w:tmpl w:val="3B6E6A15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3">
    <w:nsid w:val="3EA6D9BE"/>
    <w:multiLevelType w:val="singleLevel"/>
    <w:tmpl w:val="3EA6D9BE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14">
    <w:nsid w:val="474564A4"/>
    <w:multiLevelType w:val="singleLevel"/>
    <w:tmpl w:val="474564A4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15">
    <w:nsid w:val="5C329DD1"/>
    <w:multiLevelType w:val="singleLevel"/>
    <w:tmpl w:val="5C329DD1"/>
    <w:lvl w:ilvl="0" w:tentative="0">
      <w:start w:val="1"/>
      <w:numFmt w:val="decimalEnclosedCircleChinese"/>
      <w:lvlText w:val="%1"/>
      <w:lvlJc w:val="left"/>
      <w:pPr>
        <w:tabs>
          <w:tab w:val="left" w:pos="210"/>
        </w:tabs>
        <w:ind w:left="0" w:firstLine="480"/>
      </w:pPr>
      <w:rPr>
        <w:rFonts w:hint="eastAsia"/>
      </w:rPr>
    </w:lvl>
  </w:abstractNum>
  <w:abstractNum w:abstractNumId="16">
    <w:nsid w:val="6552743A"/>
    <w:multiLevelType w:val="singleLevel"/>
    <w:tmpl w:val="6552743A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17">
    <w:nsid w:val="67E48C96"/>
    <w:multiLevelType w:val="singleLevel"/>
    <w:tmpl w:val="67E48C96"/>
    <w:lvl w:ilvl="0" w:tentative="0">
      <w:start w:val="1"/>
      <w:numFmt w:val="decimalEnclosedCircleChinese"/>
      <w:lvlText w:val="%1"/>
      <w:lvlJc w:val="left"/>
      <w:pPr>
        <w:tabs>
          <w:tab w:val="left" w:pos="210"/>
        </w:tabs>
        <w:ind w:left="0" w:firstLine="480"/>
      </w:pPr>
      <w:rPr>
        <w:rFonts w:hint="eastAsia"/>
      </w:rPr>
    </w:lvl>
  </w:abstractNum>
  <w:abstractNum w:abstractNumId="18">
    <w:nsid w:val="74332D8D"/>
    <w:multiLevelType w:val="singleLevel"/>
    <w:tmpl w:val="74332D8D"/>
    <w:lvl w:ilvl="0" w:tentative="0">
      <w:start w:val="1"/>
      <w:numFmt w:val="decimalEnclosedCircleChinese"/>
      <w:lvlText w:val="%1"/>
      <w:lvlJc w:val="left"/>
      <w:pPr>
        <w:tabs>
          <w:tab w:val="left" w:pos="210"/>
        </w:tabs>
        <w:ind w:left="0" w:firstLine="480"/>
      </w:pPr>
      <w:rPr>
        <w:rFonts w:hint="eastAsia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4"/>
  </w:num>
  <w:num w:numId="5">
    <w:abstractNumId w:val="4"/>
  </w:num>
  <w:num w:numId="6">
    <w:abstractNumId w:val="18"/>
  </w:num>
  <w:num w:numId="7">
    <w:abstractNumId w:val="2"/>
  </w:num>
  <w:num w:numId="8">
    <w:abstractNumId w:val="15"/>
  </w:num>
  <w:num w:numId="9">
    <w:abstractNumId w:val="0"/>
  </w:num>
  <w:num w:numId="10">
    <w:abstractNumId w:val="17"/>
  </w:num>
  <w:num w:numId="11">
    <w:abstractNumId w:val="13"/>
  </w:num>
  <w:num w:numId="12">
    <w:abstractNumId w:val="1"/>
  </w:num>
  <w:num w:numId="13">
    <w:abstractNumId w:val="8"/>
  </w:num>
  <w:num w:numId="14">
    <w:abstractNumId w:val="3"/>
  </w:num>
  <w:num w:numId="15">
    <w:abstractNumId w:val="7"/>
  </w:num>
  <w:num w:numId="16">
    <w:abstractNumId w:val="6"/>
  </w:num>
  <w:num w:numId="17">
    <w:abstractNumId w:val="10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Nzg1YWI5MWQ3MzMyMmU5Y2ExNWU0NmY1MWUzMDIifQ=="/>
  </w:docVars>
  <w:rsids>
    <w:rsidRoot w:val="00000000"/>
    <w:rsid w:val="00F608EA"/>
    <w:rsid w:val="112F28EA"/>
    <w:rsid w:val="1E944390"/>
    <w:rsid w:val="212D27FA"/>
    <w:rsid w:val="2F4472A5"/>
    <w:rsid w:val="33870A64"/>
    <w:rsid w:val="534170CE"/>
    <w:rsid w:val="537E0FC9"/>
    <w:rsid w:val="598F5D1C"/>
    <w:rsid w:val="5ADC615C"/>
    <w:rsid w:val="686D6AA4"/>
    <w:rsid w:val="6D0E72AE"/>
    <w:rsid w:val="74CB28DA"/>
    <w:rsid w:val="7E24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autoRedefine/>
    <w:qFormat/>
    <w:uiPriority w:val="0"/>
    <w:pPr>
      <w:keepNext w:val="0"/>
      <w:keepLines w:val="0"/>
      <w:widowControl w:val="0"/>
      <w:spacing w:before="240" w:beforeLines="0" w:after="12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3">
    <w:name w:val="heading 2"/>
    <w:next w:val="1"/>
    <w:autoRedefine/>
    <w:unhideWhenUsed/>
    <w:qFormat/>
    <w:uiPriority w:val="0"/>
    <w:pPr>
      <w:keepNext w:val="0"/>
      <w:keepLines w:val="0"/>
      <w:widowControl w:val="0"/>
      <w:spacing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b/>
      <w:sz w:val="24"/>
    </w:rPr>
  </w:style>
  <w:style w:type="paragraph" w:styleId="4">
    <w:name w:val="heading 3"/>
    <w:next w:val="1"/>
    <w:autoRedefine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paragraph" w:styleId="5">
    <w:name w:val="heading 4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60" w:lineRule="auto"/>
      <w:outlineLvl w:val="3"/>
    </w:pPr>
    <w:rPr>
      <w:rFonts w:ascii="Times New Roman" w:hAnsi="Times New Roman" w:eastAsia="宋体" w:cs="Times New Roman"/>
      <w:sz w:val="24"/>
    </w:rPr>
  </w:style>
  <w:style w:type="paragraph" w:styleId="6">
    <w:name w:val="heading 5"/>
    <w:next w:val="1"/>
    <w:autoRedefine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440" w:lineRule="exact"/>
      <w:jc w:val="left"/>
      <w:outlineLvl w:val="4"/>
    </w:pPr>
    <w:rPr>
      <w:rFonts w:ascii="Times New Roman" w:hAnsi="Times New Roman" w:eastAsia="宋体" w:cs="Times New Roman"/>
      <w:sz w:val="24"/>
    </w:rPr>
  </w:style>
  <w:style w:type="paragraph" w:styleId="7">
    <w:name w:val="heading 6"/>
    <w:next w:val="1"/>
    <w:autoRedefine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5"/>
    </w:pPr>
    <w:rPr>
      <w:rFonts w:ascii="Times New Roman" w:hAnsi="Times New Roman" w:eastAsia="宋体" w:cs="Times New Roman"/>
      <w:sz w:val="24"/>
    </w:rPr>
  </w:style>
  <w:style w:type="paragraph" w:styleId="8">
    <w:name w:val="heading 7"/>
    <w:next w:val="1"/>
    <w:autoRedefine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6"/>
    </w:pPr>
    <w:rPr>
      <w:rFonts w:ascii="Times New Roman" w:hAnsi="Times New Roman" w:eastAsia="宋体" w:cs="Times New Roman"/>
      <w:sz w:val="24"/>
    </w:rPr>
  </w:style>
  <w:style w:type="paragraph" w:styleId="9">
    <w:name w:val="heading 8"/>
    <w:next w:val="1"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7"/>
    </w:pPr>
    <w:rPr>
      <w:rFonts w:ascii="Times New Roman" w:hAnsi="Times New Roman" w:eastAsia="宋体" w:cs="Times New Roman"/>
      <w:sz w:val="24"/>
    </w:rPr>
  </w:style>
  <w:style w:type="paragraph" w:styleId="10">
    <w:name w:val="heading 9"/>
    <w:next w:val="1"/>
    <w:autoRedefine/>
    <w:semiHidden/>
    <w:unhideWhenUsed/>
    <w:qFormat/>
    <w:uiPriority w:val="0"/>
    <w:pPr>
      <w:keepNext w:val="0"/>
      <w:keepLines w:val="0"/>
      <w:widowControl w:val="0"/>
      <w:spacing w:beforeLines="0" w:beforeAutospacing="0" w:after="120" w:afterLines="0" w:afterAutospacing="0" w:line="360" w:lineRule="auto"/>
      <w:jc w:val="left"/>
      <w:outlineLvl w:val="8"/>
    </w:pPr>
    <w:rPr>
      <w:rFonts w:ascii="Times New Roman" w:hAnsi="Times New Roman" w:eastAsia="宋体" w:cs="Times New Roman"/>
      <w:sz w:val="24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autoRedefine/>
    <w:qFormat/>
    <w:uiPriority w:val="0"/>
    <w:pPr>
      <w:widowControl w:val="0"/>
      <w:spacing w:after="120" w:afterAutospacing="0"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autoRedefine/>
    <w:qFormat/>
    <w:uiPriority w:val="0"/>
    <w:pPr>
      <w:widowControl w:val="0"/>
      <w:spacing w:beforeLines="0" w:beforeAutospacing="0" w:after="240" w:afterLines="0" w:afterAutospacing="0" w:line="240" w:lineRule="auto"/>
      <w:jc w:val="center"/>
      <w:outlineLvl w:val="9"/>
    </w:pPr>
    <w:rPr>
      <w:rFonts w:ascii="Times New Roman" w:hAnsi="Times New Roman" w:eastAsia="宋体" w:cs="Times New Roman"/>
      <w:kern w:val="28"/>
      <w:sz w:val="21"/>
    </w:rPr>
  </w:style>
  <w:style w:type="paragraph" w:styleId="15">
    <w:name w:val="Normal (Web)"/>
    <w:qFormat/>
    <w:uiPriority w:val="0"/>
    <w:pPr>
      <w:widowControl w:val="0"/>
      <w:spacing w:beforeAutospacing="1" w:afterAutospacing="1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-SA"/>
    </w:rPr>
  </w:style>
  <w:style w:type="paragraph" w:styleId="16">
    <w:name w:val="Title"/>
    <w:qFormat/>
    <w:uiPriority w:val="0"/>
    <w:pPr>
      <w:spacing w:before="240" w:beforeAutospacing="0" w:after="240" w:afterAutospacing="0" w:line="240" w:lineRule="auto"/>
      <w:jc w:val="center"/>
      <w:outlineLvl w:val="9"/>
    </w:pPr>
    <w:rPr>
      <w:rFonts w:ascii="Times New Roman" w:hAnsi="Times New Roman" w:eastAsia="宋体" w:cs="Times New Roman"/>
      <w:b/>
      <w:sz w:val="32"/>
    </w:rPr>
  </w:style>
  <w:style w:type="table" w:styleId="18">
    <w:name w:val="Table Grid"/>
    <w:basedOn w:val="1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2961</Words>
  <Characters>3057</Characters>
  <Lines>0</Lines>
  <Paragraphs>0</Paragraphs>
  <TotalTime>19</TotalTime>
  <ScaleCrop>false</ScaleCrop>
  <LinksUpToDate>false</LinksUpToDate>
  <CharactersWithSpaces>3069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2026-04-23T05:38:00Z</dcterms:created>
  <dc:creator>CF</dc:creator>
  <cp:lastModifiedBy>厄小齐❤</cp:lastModifiedBy>
  <dcterms:modified xsi:type="dcterms:W3CDTF">2026-04-27T08:37:38Z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TemplateDocerSaveRecord">
    <vt:lpwstr>eyJoZGlkIjoiMzEwNTM5NzYwMDRjMzkwZTVkZjY2ODkwMGIxNGU0OTUiLCJ1c2VySWQiOiI1NDk2MjQyMjAifQ==</vt:lpwstr>
  </property>
  <property fmtid="{D5CDD505-2E9C-101B-9397-08002B2CF9AE}" pid="4" name="ICV">
    <vt:lpwstr>33F6D8AA25944BF19D25425AE571A39A_12</vt:lpwstr>
  </property>
</Properties>
</file>